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104"/>
      </w:tblGrid>
      <w:tr w:rsidR="002C4A1E" w:rsidRPr="002C4A1E" w:rsidTr="002C4A1E">
        <w:trPr>
          <w:tblCellSpacing w:w="75" w:type="dxa"/>
        </w:trPr>
        <w:tc>
          <w:tcPr>
            <w:tcW w:w="5000" w:type="pct"/>
            <w:hideMark/>
          </w:tcPr>
          <w:p w:rsidR="002C4A1E" w:rsidRPr="002C4A1E" w:rsidRDefault="002C4A1E" w:rsidP="002C4A1E">
            <w:pPr>
              <w:spacing w:after="0"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800000"/>
                <w:sz w:val="27"/>
                <w:szCs w:val="27"/>
                <w:lang w:eastAsia="es-UY"/>
              </w:rPr>
              <w:t xml:space="preserve">Decreto Nº 64/004 - Código Nacional sobre Enfermedades y Eventos Sanitarios de Notificación Obligatoria </w:t>
            </w:r>
          </w:p>
          <w:p w:rsidR="002C4A1E" w:rsidRPr="002C4A1E" w:rsidRDefault="002C4A1E" w:rsidP="008B57E9">
            <w:pPr>
              <w:spacing w:before="100" w:beforeAutospacing="1" w:after="100" w:afterAutospacing="1" w:line="240" w:lineRule="auto"/>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MINISTERIO DE SALUD PUBLICA</w:t>
            </w:r>
            <w:r w:rsidRPr="002C4A1E">
              <w:rPr>
                <w:rFonts w:ascii="Arial" w:eastAsia="Times New Roman" w:hAnsi="Arial" w:cs="Arial"/>
                <w:b/>
                <w:bCs/>
                <w:color w:val="000000"/>
                <w:sz w:val="20"/>
                <w:szCs w:val="20"/>
                <w:lang w:eastAsia="es-UY"/>
              </w:rPr>
              <w:br/>
              <w:t> MINISTERIO DEL INTERIOR</w:t>
            </w:r>
            <w:r w:rsidRPr="002C4A1E">
              <w:rPr>
                <w:rFonts w:ascii="Arial" w:eastAsia="Times New Roman" w:hAnsi="Arial" w:cs="Arial"/>
                <w:b/>
                <w:bCs/>
                <w:color w:val="000000"/>
                <w:sz w:val="20"/>
                <w:szCs w:val="20"/>
                <w:lang w:eastAsia="es-UY"/>
              </w:rPr>
              <w:br/>
              <w:t>  MINISTERIO DE RELACIONES EXTERIORES</w:t>
            </w:r>
            <w:r w:rsidRPr="002C4A1E">
              <w:rPr>
                <w:rFonts w:ascii="Arial" w:eastAsia="Times New Roman" w:hAnsi="Arial" w:cs="Arial"/>
                <w:b/>
                <w:bCs/>
                <w:color w:val="000000"/>
                <w:sz w:val="20"/>
                <w:szCs w:val="20"/>
                <w:lang w:eastAsia="es-UY"/>
              </w:rPr>
              <w:br/>
              <w:t>   MINISTERIO DE ECONOMIA Y FINANZAS</w:t>
            </w:r>
            <w:r w:rsidRPr="002C4A1E">
              <w:rPr>
                <w:rFonts w:ascii="Arial" w:eastAsia="Times New Roman" w:hAnsi="Arial" w:cs="Arial"/>
                <w:b/>
                <w:bCs/>
                <w:color w:val="000000"/>
                <w:sz w:val="20"/>
                <w:szCs w:val="20"/>
                <w:lang w:eastAsia="es-UY"/>
              </w:rPr>
              <w:br/>
              <w:t>    MINISTERIO DE DEFENSA NACIONAL</w:t>
            </w:r>
            <w:r w:rsidRPr="002C4A1E">
              <w:rPr>
                <w:rFonts w:ascii="Arial" w:eastAsia="Times New Roman" w:hAnsi="Arial" w:cs="Arial"/>
                <w:b/>
                <w:bCs/>
                <w:color w:val="000000"/>
                <w:sz w:val="20"/>
                <w:szCs w:val="20"/>
                <w:lang w:eastAsia="es-UY"/>
              </w:rPr>
              <w:br/>
              <w:t>     MINISTERIO DE EDUCACION Y CULTURA</w:t>
            </w:r>
            <w:r w:rsidRPr="002C4A1E">
              <w:rPr>
                <w:rFonts w:ascii="Arial" w:eastAsia="Times New Roman" w:hAnsi="Arial" w:cs="Arial"/>
                <w:b/>
                <w:bCs/>
                <w:color w:val="000000"/>
                <w:sz w:val="20"/>
                <w:szCs w:val="20"/>
                <w:lang w:eastAsia="es-UY"/>
              </w:rPr>
              <w:br/>
              <w:t>      MINISTERIO DE TRANSPORTE Y OBRAS PUBLICAS</w:t>
            </w:r>
            <w:r w:rsidRPr="002C4A1E">
              <w:rPr>
                <w:rFonts w:ascii="Arial" w:eastAsia="Times New Roman" w:hAnsi="Arial" w:cs="Arial"/>
                <w:b/>
                <w:bCs/>
                <w:color w:val="000000"/>
                <w:sz w:val="20"/>
                <w:szCs w:val="20"/>
                <w:lang w:eastAsia="es-UY"/>
              </w:rPr>
              <w:br/>
              <w:t>       MINISTERIO DE INDUSTRIA, ENERGIA Y MINERIA</w:t>
            </w:r>
            <w:r w:rsidRPr="002C4A1E">
              <w:rPr>
                <w:rFonts w:ascii="Arial" w:eastAsia="Times New Roman" w:hAnsi="Arial" w:cs="Arial"/>
                <w:b/>
                <w:bCs/>
                <w:color w:val="000000"/>
                <w:sz w:val="20"/>
                <w:szCs w:val="20"/>
                <w:lang w:eastAsia="es-UY"/>
              </w:rPr>
              <w:br/>
              <w:t>        MINISTERIO DE TRABAJO Y SEGURIDAD SOCIAL</w:t>
            </w:r>
            <w:r w:rsidRPr="002C4A1E">
              <w:rPr>
                <w:rFonts w:ascii="Arial" w:eastAsia="Times New Roman" w:hAnsi="Arial" w:cs="Arial"/>
                <w:b/>
                <w:bCs/>
                <w:color w:val="000000"/>
                <w:sz w:val="20"/>
                <w:szCs w:val="20"/>
                <w:lang w:eastAsia="es-UY"/>
              </w:rPr>
              <w:br/>
              <w:t>         MINISTERIO DE GANADERIA, AGRICULTURA Y PESCA</w:t>
            </w:r>
            <w:r w:rsidRPr="002C4A1E">
              <w:rPr>
                <w:rFonts w:ascii="Arial" w:eastAsia="Times New Roman" w:hAnsi="Arial" w:cs="Arial"/>
                <w:b/>
                <w:bCs/>
                <w:color w:val="000000"/>
                <w:sz w:val="20"/>
                <w:szCs w:val="20"/>
                <w:lang w:eastAsia="es-UY"/>
              </w:rPr>
              <w:br/>
              <w:t>          MINISTERIO DE TURISMO</w:t>
            </w:r>
            <w:r w:rsidRPr="002C4A1E">
              <w:rPr>
                <w:rFonts w:ascii="Arial" w:eastAsia="Times New Roman" w:hAnsi="Arial" w:cs="Arial"/>
                <w:b/>
                <w:bCs/>
                <w:color w:val="000000"/>
                <w:sz w:val="20"/>
                <w:szCs w:val="20"/>
                <w:lang w:eastAsia="es-UY"/>
              </w:rPr>
              <w:br/>
              <w:t>           MINISTERIO DE VIVIENDA, ORDENAMIENTO TERRITORIAL Y MEDIO AMBIENTE</w:t>
            </w:r>
            <w:r w:rsidRPr="002C4A1E">
              <w:rPr>
                <w:rFonts w:ascii="Arial" w:eastAsia="Times New Roman" w:hAnsi="Arial" w:cs="Arial"/>
                <w:b/>
                <w:bCs/>
                <w:color w:val="000000"/>
                <w:sz w:val="20"/>
                <w:szCs w:val="20"/>
                <w:lang w:eastAsia="es-UY"/>
              </w:rPr>
              <w:br/>
              <w:t>            MINISTERIO DE DEPORTE Y JUVENTUD</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right"/>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Montevideo, 18 de febrero de 2004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VISTO</w:t>
            </w:r>
            <w:r w:rsidRPr="002C4A1E">
              <w:rPr>
                <w:rFonts w:ascii="Arial" w:eastAsia="Times New Roman" w:hAnsi="Arial" w:cs="Arial"/>
                <w:color w:val="000000"/>
                <w:sz w:val="20"/>
                <w:szCs w:val="20"/>
                <w:lang w:eastAsia="es-UY"/>
              </w:rPr>
              <w:t xml:space="preserve">: la necesidad de actualizar el "Código Nacional sobre Enfermedades y Eventos Sanitarios de Notificación Obligatoria";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RESULTANDO</w:t>
            </w:r>
            <w:r w:rsidRPr="002C4A1E">
              <w:rPr>
                <w:rFonts w:ascii="Arial" w:eastAsia="Times New Roman" w:hAnsi="Arial" w:cs="Arial"/>
                <w:color w:val="000000"/>
                <w:sz w:val="20"/>
                <w:szCs w:val="20"/>
                <w:lang w:eastAsia="es-UY"/>
              </w:rPr>
              <w:t xml:space="preserve">: I) que los cambios en las enfermedades prevalentes y su epidemiología, así como los cambios originados por la posibilidad de lo que hoy se llaman "enfermedades emergentes y reemergentes", junto con los cambios ocurridos desde la aprobación del código vigente, en materia de conocimiento científico, tecnológico y comunicacional, hacen imprescindible la actualización a los efectos de una adecuada vigilancia epidemiológica y control de enfermedades y riesgos para la salud de nuestra población; </w:t>
            </w:r>
            <w:r w:rsidRPr="002C4A1E">
              <w:rPr>
                <w:rFonts w:ascii="Arial" w:eastAsia="Times New Roman" w:hAnsi="Arial" w:cs="Arial"/>
                <w:color w:val="000000"/>
                <w:sz w:val="20"/>
                <w:szCs w:val="20"/>
                <w:lang w:eastAsia="es-UY"/>
              </w:rPr>
              <w:br/>
              <w:t xml:space="preserve">II) que cada país tiene la obligación de codificar las enfermedades que se desarrollan dentro del área nacional; </w:t>
            </w:r>
            <w:r w:rsidRPr="002C4A1E">
              <w:rPr>
                <w:rFonts w:ascii="Arial" w:eastAsia="Times New Roman" w:hAnsi="Arial" w:cs="Arial"/>
                <w:color w:val="000000"/>
                <w:sz w:val="20"/>
                <w:szCs w:val="20"/>
                <w:lang w:eastAsia="es-UY"/>
              </w:rPr>
              <w:br/>
              <w:t xml:space="preserve">III) que debido a la ordenación general de las medidas que se rigen por el Reglamento Sanitario Internacional, aprobado por la Organización Mundial de la Salud, muchas de las disposiciones de nuestro Código se hallan fuera de lugar; </w:t>
            </w:r>
            <w:r w:rsidRPr="002C4A1E">
              <w:rPr>
                <w:rFonts w:ascii="Arial" w:eastAsia="Times New Roman" w:hAnsi="Arial" w:cs="Arial"/>
                <w:color w:val="000000"/>
                <w:sz w:val="20"/>
                <w:szCs w:val="20"/>
                <w:lang w:eastAsia="es-UY"/>
              </w:rPr>
              <w:br/>
              <w:t xml:space="preserve">IV) que, el desarrollo permanente del método epidemiológico y su cuerpo de conocimientos han permitido actualizar sus usos y aplicaciones: siendo de aplicaciones frecuentes de la Epidemiología, entre otras: la medición del nivel de salud de poblaciones, la descripción de la historia natural de la enfermedad, la identificación de los determinantes de las enfermedades, el control y prevención de la enfermedad, la selección de métodos de control y prevención, la planificación y evaluación de servicios de salud;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CONSIDERANDO</w:t>
            </w:r>
            <w:r w:rsidRPr="002C4A1E">
              <w:rPr>
                <w:rFonts w:ascii="Arial" w:eastAsia="Times New Roman" w:hAnsi="Arial" w:cs="Arial"/>
                <w:color w:val="000000"/>
                <w:sz w:val="20"/>
                <w:szCs w:val="20"/>
                <w:lang w:eastAsia="es-UY"/>
              </w:rPr>
              <w:t xml:space="preserve">: I) que los artículos Nos. 2, 4 y 5 de la Ley N° 9.202 de 12 de enero de 1934 "Orgánica de Salud Pública", establecen los cometidos de ésta Secretaría de Estado en materia de Higiene, a fin de adoptar las medidas necesarias para mantener la salud colectiva y su ejecución por el personal a sus ordenes; </w:t>
            </w:r>
            <w:r w:rsidRPr="002C4A1E">
              <w:rPr>
                <w:rFonts w:ascii="Arial" w:eastAsia="Times New Roman" w:hAnsi="Arial" w:cs="Arial"/>
                <w:color w:val="000000"/>
                <w:sz w:val="20"/>
                <w:szCs w:val="20"/>
                <w:lang w:eastAsia="es-UY"/>
              </w:rPr>
              <w:br/>
              <w:t xml:space="preserve">II) que el Artículo 224 del Código Penal dispone penas a las violaciones de las disposiciones vigentes sobre las enfermedades epidémicas y contagiosas; </w:t>
            </w:r>
            <w:r w:rsidRPr="002C4A1E">
              <w:rPr>
                <w:rFonts w:ascii="Arial" w:eastAsia="Times New Roman" w:hAnsi="Arial" w:cs="Arial"/>
                <w:color w:val="000000"/>
                <w:sz w:val="20"/>
                <w:szCs w:val="20"/>
                <w:lang w:eastAsia="es-UY"/>
              </w:rPr>
              <w:br/>
              <w:t xml:space="preserve">III) lo informado por las Divisiones Jurídico Notarial y Salud de la Población y la Dirección General de la Salud;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ATENTO</w:t>
            </w:r>
            <w:r w:rsidRPr="002C4A1E">
              <w:rPr>
                <w:rFonts w:ascii="Arial" w:eastAsia="Times New Roman" w:hAnsi="Arial" w:cs="Arial"/>
                <w:color w:val="000000"/>
                <w:sz w:val="20"/>
                <w:szCs w:val="20"/>
                <w:lang w:eastAsia="es-UY"/>
              </w:rPr>
              <w:t xml:space="preserve">: a lo precedentemente expuesto; </w:t>
            </w:r>
          </w:p>
          <w:p w:rsidR="002C4A1E" w:rsidRPr="002C4A1E" w:rsidRDefault="002C4A1E" w:rsidP="002C4A1E">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t>EL PRESIDENTE DE LA REPUBLICA</w:t>
            </w:r>
            <w:r w:rsidRPr="002C4A1E">
              <w:rPr>
                <w:rFonts w:ascii="Arial" w:eastAsia="Times New Roman" w:hAnsi="Arial" w:cs="Arial"/>
                <w:b/>
                <w:bCs/>
                <w:color w:val="000000"/>
                <w:sz w:val="20"/>
                <w:szCs w:val="20"/>
                <w:lang w:eastAsia="es-UY"/>
              </w:rPr>
              <w:br/>
              <w:t xml:space="preserve">DECRETA: </w:t>
            </w:r>
          </w:p>
          <w:p w:rsidR="002C4A1E" w:rsidRPr="002C4A1E" w:rsidRDefault="002C4A1E" w:rsidP="002C4A1E">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lastRenderedPageBreak/>
              <w:t>SECCION I</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0" w:name="art/1"/>
            <w:r w:rsidRPr="002C4A1E">
              <w:rPr>
                <w:rFonts w:ascii="Arial" w:eastAsia="Times New Roman" w:hAnsi="Arial" w:cs="Arial"/>
                <w:b/>
                <w:bCs/>
                <w:color w:val="000000"/>
                <w:sz w:val="20"/>
                <w:szCs w:val="20"/>
                <w:lang w:eastAsia="es-UY"/>
              </w:rPr>
              <w:t>ART. 1º.-</w:t>
            </w:r>
            <w:bookmarkEnd w:id="0"/>
            <w:r w:rsidRPr="002C4A1E">
              <w:rPr>
                <w:rFonts w:ascii="Arial" w:eastAsia="Times New Roman" w:hAnsi="Arial" w:cs="Arial"/>
                <w:color w:val="000000"/>
                <w:sz w:val="20"/>
                <w:szCs w:val="20"/>
                <w:lang w:eastAsia="es-UY"/>
              </w:rPr>
              <w:br/>
            </w:r>
            <w:r w:rsidRPr="002C4A1E">
              <w:rPr>
                <w:rFonts w:ascii="Arial" w:eastAsia="Times New Roman" w:hAnsi="Arial" w:cs="Arial"/>
                <w:b/>
                <w:bCs/>
                <w:color w:val="000000"/>
                <w:sz w:val="20"/>
                <w:szCs w:val="20"/>
                <w:lang w:eastAsia="es-UY"/>
              </w:rPr>
              <w:t>Disposiciones:</w:t>
            </w:r>
            <w:r w:rsidRPr="002C4A1E">
              <w:rPr>
                <w:rFonts w:ascii="Arial" w:eastAsia="Times New Roman" w:hAnsi="Arial" w:cs="Arial"/>
                <w:color w:val="000000"/>
                <w:sz w:val="20"/>
                <w:szCs w:val="20"/>
                <w:lang w:eastAsia="es-UY"/>
              </w:rPr>
              <w:br/>
              <w:t xml:space="preserve">A los efectos de esta reglamentación se entiende por enfermedades y eventos sanitarios de declaración obligatoria a todas aquellas enfermedades transmisibles o no y los eventos (hechos, acontecimientos o circunstancias que por su importancia, características o excepcionalidad puedan considerarse de riesgo para la salud pública) incluidos en el presente Código, que se producen dentro del territorio nacional o que ingresan al mismo y que conciernen a las autoridades sanitarias a los fines profilácticos, terapéuticos o epidemiológicos.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1" w:name="art/2"/>
            <w:r w:rsidRPr="002C4A1E">
              <w:rPr>
                <w:rFonts w:ascii="Arial" w:eastAsia="Times New Roman" w:hAnsi="Arial" w:cs="Arial"/>
                <w:b/>
                <w:bCs/>
                <w:color w:val="000000"/>
                <w:sz w:val="20"/>
                <w:szCs w:val="20"/>
                <w:lang w:eastAsia="es-UY"/>
              </w:rPr>
              <w:t>ART. 2º.-</w:t>
            </w:r>
            <w:bookmarkEnd w:id="1"/>
            <w:r w:rsidRPr="002C4A1E">
              <w:rPr>
                <w:rFonts w:ascii="Arial" w:eastAsia="Times New Roman" w:hAnsi="Arial" w:cs="Arial"/>
                <w:color w:val="000000"/>
                <w:sz w:val="20"/>
                <w:szCs w:val="20"/>
                <w:lang w:eastAsia="es-UY"/>
              </w:rPr>
              <w:br/>
            </w:r>
            <w:r w:rsidRPr="002C4A1E">
              <w:rPr>
                <w:rFonts w:ascii="Arial" w:eastAsia="Times New Roman" w:hAnsi="Arial" w:cs="Arial"/>
                <w:b/>
                <w:bCs/>
                <w:color w:val="000000"/>
                <w:sz w:val="20"/>
                <w:szCs w:val="20"/>
                <w:lang w:eastAsia="es-UY"/>
              </w:rPr>
              <w:t>Enfermedades y eventos de declaración obligatoria:</w:t>
            </w:r>
            <w:r w:rsidRPr="002C4A1E">
              <w:rPr>
                <w:rFonts w:ascii="Arial" w:eastAsia="Times New Roman" w:hAnsi="Arial" w:cs="Arial"/>
                <w:color w:val="000000"/>
                <w:sz w:val="20"/>
                <w:szCs w:val="20"/>
                <w:lang w:eastAsia="es-UY"/>
              </w:rPr>
              <w:br/>
              <w:t xml:space="preserve">2.1.- Declárase obligatoria la denuncia o notificación de las siguientes enfermedades y eventos de interés sanitario que se definen en el Anexo I que forma parte del presente Código. </w:t>
            </w:r>
            <w:r w:rsidRPr="002C4A1E">
              <w:rPr>
                <w:rFonts w:ascii="Arial" w:eastAsia="Times New Roman" w:hAnsi="Arial" w:cs="Arial"/>
                <w:color w:val="000000"/>
                <w:sz w:val="20"/>
                <w:szCs w:val="20"/>
                <w:lang w:eastAsia="es-UY"/>
              </w:rPr>
              <w:br/>
              <w:t xml:space="preserve">2.2.- La "Lista de Enfermedades y Eventos de Notificación Obligatoria" será determinada por el Departamento de Epidemiología del Ministerio de Salud Pública con el asesoramiento de grupos de expertos y actualizada de acuerdo a los requerimientos de la situación epidemiológica.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2" w:name="art/3"/>
            <w:r w:rsidRPr="002C4A1E">
              <w:rPr>
                <w:rFonts w:ascii="Arial" w:eastAsia="Times New Roman" w:hAnsi="Arial" w:cs="Arial"/>
                <w:b/>
                <w:bCs/>
                <w:color w:val="000000"/>
                <w:sz w:val="20"/>
                <w:szCs w:val="20"/>
                <w:lang w:eastAsia="es-UY"/>
              </w:rPr>
              <w:t>ART. 3º.-</w:t>
            </w:r>
            <w:bookmarkEnd w:id="2"/>
            <w:r w:rsidRPr="002C4A1E">
              <w:rPr>
                <w:rFonts w:ascii="Arial" w:eastAsia="Times New Roman" w:hAnsi="Arial" w:cs="Arial"/>
                <w:color w:val="000000"/>
                <w:sz w:val="20"/>
                <w:szCs w:val="20"/>
                <w:lang w:eastAsia="es-UY"/>
              </w:rPr>
              <w:br/>
            </w:r>
            <w:r w:rsidRPr="002C4A1E">
              <w:rPr>
                <w:rFonts w:ascii="Arial" w:eastAsia="Times New Roman" w:hAnsi="Arial" w:cs="Arial"/>
                <w:b/>
                <w:bCs/>
                <w:color w:val="000000"/>
                <w:sz w:val="20"/>
                <w:szCs w:val="20"/>
                <w:lang w:eastAsia="es-UY"/>
              </w:rPr>
              <w:t>Responsabilidad de la declaración:</w:t>
            </w:r>
            <w:r w:rsidRPr="002C4A1E">
              <w:rPr>
                <w:rFonts w:ascii="Arial" w:eastAsia="Times New Roman" w:hAnsi="Arial" w:cs="Arial"/>
                <w:color w:val="000000"/>
                <w:sz w:val="20"/>
                <w:szCs w:val="20"/>
                <w:lang w:eastAsia="es-UY"/>
              </w:rPr>
              <w:br/>
              <w:t xml:space="preserve">3.1.- Están obligados a hacer la declaración de las enfermedades o eventos indicadas en el artículo 2 del presente Código las siguientes personas: </w:t>
            </w:r>
            <w:r w:rsidRPr="002C4A1E">
              <w:rPr>
                <w:rFonts w:ascii="Arial" w:eastAsia="Times New Roman" w:hAnsi="Arial" w:cs="Arial"/>
                <w:color w:val="000000"/>
                <w:sz w:val="20"/>
                <w:szCs w:val="20"/>
                <w:lang w:eastAsia="es-UY"/>
              </w:rPr>
              <w:br/>
              <w:t xml:space="preserve">Médicos y médicos veterinarios en el ejercicio libre de su profesión o en relación laboral de dependencia. </w:t>
            </w:r>
            <w:r w:rsidRPr="002C4A1E">
              <w:rPr>
                <w:rFonts w:ascii="Arial" w:eastAsia="Times New Roman" w:hAnsi="Arial" w:cs="Arial"/>
                <w:color w:val="000000"/>
                <w:sz w:val="20"/>
                <w:szCs w:val="20"/>
                <w:lang w:eastAsia="es-UY"/>
              </w:rPr>
              <w:br/>
              <w:t xml:space="preserve">Directores técnicos de hospitales o instituciones de asistencia públicos, privados o de cualquier otro tipo. Si el establecimiento o servicio no tuviera director técnico, está obligado a hacer la declaración el funcionario de mayor autoridad del mismo. </w:t>
            </w:r>
            <w:r w:rsidRPr="002C4A1E">
              <w:rPr>
                <w:rFonts w:ascii="Arial" w:eastAsia="Times New Roman" w:hAnsi="Arial" w:cs="Arial"/>
                <w:color w:val="000000"/>
                <w:sz w:val="20"/>
                <w:szCs w:val="20"/>
                <w:lang w:eastAsia="es-UY"/>
              </w:rPr>
              <w:br/>
              <w:t xml:space="preserve">Otros técnicos profesionales de la salud y personal sanitario de todas las categorías. </w:t>
            </w:r>
            <w:r w:rsidRPr="002C4A1E">
              <w:rPr>
                <w:rFonts w:ascii="Arial" w:eastAsia="Times New Roman" w:hAnsi="Arial" w:cs="Arial"/>
                <w:color w:val="000000"/>
                <w:sz w:val="20"/>
                <w:szCs w:val="20"/>
                <w:lang w:eastAsia="es-UY"/>
              </w:rPr>
              <w:br/>
              <w:t xml:space="preserve">Directores técnicos de laboratorios de análisis y bancos de sangre. </w:t>
            </w:r>
            <w:r w:rsidRPr="002C4A1E">
              <w:rPr>
                <w:rFonts w:ascii="Arial" w:eastAsia="Times New Roman" w:hAnsi="Arial" w:cs="Arial"/>
                <w:color w:val="000000"/>
                <w:sz w:val="20"/>
                <w:szCs w:val="20"/>
                <w:lang w:eastAsia="es-UY"/>
              </w:rPr>
              <w:br/>
              <w:t xml:space="preserve">Médicos responsables de internados, comunidades, campamentos y similares. </w:t>
            </w:r>
            <w:r w:rsidRPr="002C4A1E">
              <w:rPr>
                <w:rFonts w:ascii="Arial" w:eastAsia="Times New Roman" w:hAnsi="Arial" w:cs="Arial"/>
                <w:color w:val="000000"/>
                <w:sz w:val="20"/>
                <w:szCs w:val="20"/>
                <w:lang w:eastAsia="es-UY"/>
              </w:rPr>
              <w:br/>
              <w:t xml:space="preserve">3.2.- También deberán hacer </w:t>
            </w:r>
            <w:proofErr w:type="gramStart"/>
            <w:r w:rsidRPr="002C4A1E">
              <w:rPr>
                <w:rFonts w:ascii="Arial" w:eastAsia="Times New Roman" w:hAnsi="Arial" w:cs="Arial"/>
                <w:color w:val="000000"/>
                <w:sz w:val="20"/>
                <w:szCs w:val="20"/>
                <w:lang w:eastAsia="es-UY"/>
              </w:rPr>
              <w:t>la declaración de las enfermedades o eventos indicadas</w:t>
            </w:r>
            <w:proofErr w:type="gramEnd"/>
            <w:r w:rsidRPr="002C4A1E">
              <w:rPr>
                <w:rFonts w:ascii="Arial" w:eastAsia="Times New Roman" w:hAnsi="Arial" w:cs="Arial"/>
                <w:color w:val="000000"/>
                <w:sz w:val="20"/>
                <w:szCs w:val="20"/>
                <w:lang w:eastAsia="es-UY"/>
              </w:rPr>
              <w:t xml:space="preserve"> en el artículo 2 del presente Código las siguientes personas: </w:t>
            </w:r>
            <w:r w:rsidRPr="002C4A1E">
              <w:rPr>
                <w:rFonts w:ascii="Arial" w:eastAsia="Times New Roman" w:hAnsi="Arial" w:cs="Arial"/>
                <w:color w:val="000000"/>
                <w:sz w:val="20"/>
                <w:szCs w:val="20"/>
                <w:lang w:eastAsia="es-UY"/>
              </w:rPr>
              <w:br/>
              <w:t xml:space="preserve">Directores de escuelas y liceos u otros establecimientos de enseñanza públicos o privados. </w:t>
            </w:r>
            <w:r w:rsidRPr="002C4A1E">
              <w:rPr>
                <w:rFonts w:ascii="Arial" w:eastAsia="Times New Roman" w:hAnsi="Arial" w:cs="Arial"/>
                <w:color w:val="000000"/>
                <w:sz w:val="20"/>
                <w:szCs w:val="20"/>
                <w:lang w:eastAsia="es-UY"/>
              </w:rPr>
              <w:br/>
              <w:t xml:space="preserve">Mandos de establecimientos y dependencias de las fuerzas armadas. </w:t>
            </w:r>
            <w:r w:rsidRPr="002C4A1E">
              <w:rPr>
                <w:rFonts w:ascii="Arial" w:eastAsia="Times New Roman" w:hAnsi="Arial" w:cs="Arial"/>
                <w:color w:val="000000"/>
                <w:sz w:val="20"/>
                <w:szCs w:val="20"/>
                <w:lang w:eastAsia="es-UY"/>
              </w:rPr>
              <w:br/>
              <w:t xml:space="preserve">Capitanes de buques y aeronaves. </w:t>
            </w:r>
            <w:r w:rsidRPr="002C4A1E">
              <w:rPr>
                <w:rFonts w:ascii="Arial" w:eastAsia="Times New Roman" w:hAnsi="Arial" w:cs="Arial"/>
                <w:color w:val="000000"/>
                <w:sz w:val="20"/>
                <w:szCs w:val="20"/>
                <w:lang w:eastAsia="es-UY"/>
              </w:rPr>
              <w:br/>
              <w:t xml:space="preserve">Cualquier ciudadano que tenga conocimiento o sospecha de la ocurrencia de una enfermedad o circunstancia que pueda significar riesgo para la salud pública.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3" w:name="art/4"/>
            <w:r w:rsidRPr="002C4A1E">
              <w:rPr>
                <w:rFonts w:ascii="Arial" w:eastAsia="Times New Roman" w:hAnsi="Arial" w:cs="Arial"/>
                <w:b/>
                <w:bCs/>
                <w:color w:val="000000"/>
                <w:sz w:val="20"/>
                <w:szCs w:val="20"/>
                <w:lang w:eastAsia="es-UY"/>
              </w:rPr>
              <w:t>ART. 4º.-</w:t>
            </w:r>
            <w:bookmarkEnd w:id="3"/>
            <w:r w:rsidRPr="002C4A1E">
              <w:rPr>
                <w:rFonts w:ascii="Arial" w:eastAsia="Times New Roman" w:hAnsi="Arial" w:cs="Arial"/>
                <w:color w:val="000000"/>
                <w:sz w:val="20"/>
                <w:szCs w:val="20"/>
                <w:lang w:eastAsia="es-UY"/>
              </w:rPr>
              <w:br/>
            </w:r>
            <w:r w:rsidRPr="002C4A1E">
              <w:rPr>
                <w:rFonts w:ascii="Arial" w:eastAsia="Times New Roman" w:hAnsi="Arial" w:cs="Arial"/>
                <w:b/>
                <w:bCs/>
                <w:color w:val="000000"/>
                <w:sz w:val="20"/>
                <w:szCs w:val="20"/>
                <w:lang w:eastAsia="es-UY"/>
              </w:rPr>
              <w:t>Plazos y mecanismos para la declaración:</w:t>
            </w:r>
            <w:r w:rsidRPr="002C4A1E">
              <w:rPr>
                <w:rFonts w:ascii="Arial" w:eastAsia="Times New Roman" w:hAnsi="Arial" w:cs="Arial"/>
                <w:color w:val="000000"/>
                <w:sz w:val="20"/>
                <w:szCs w:val="20"/>
                <w:lang w:eastAsia="es-UY"/>
              </w:rPr>
              <w:br/>
              <w:t xml:space="preserve">4.1.- La declaración de las enfermedades o eventos incluidos en el Artículo 2, Grupo A de la "Lista de Enfermedades y Eventos de Notificación Obligatoria" según consta en el Anexo I del presente Código, se hará de inmediato por la vía de comunicación más rápida disponible (telefónica, fax, telegrama o personalmente) desde que se sospecha la enfermedad. </w:t>
            </w:r>
            <w:r w:rsidRPr="002C4A1E">
              <w:rPr>
                <w:rFonts w:ascii="Arial" w:eastAsia="Times New Roman" w:hAnsi="Arial" w:cs="Arial"/>
                <w:color w:val="000000"/>
                <w:sz w:val="20"/>
                <w:szCs w:val="20"/>
                <w:lang w:eastAsia="es-UY"/>
              </w:rPr>
              <w:br/>
              <w:t xml:space="preserve">En estos casos la notificación deberá hacerse en forma simultánea a la autoridad sanitaria local de la zona donde ocurre el caso y a la Unidad de Vigilancia Epidemiológica del Departamento de Epidemiología de la División Salud de la Población perteneciente a la Dirección General de la Salud del Ministerio de Salud Pública. </w:t>
            </w:r>
            <w:r w:rsidRPr="002C4A1E">
              <w:rPr>
                <w:rFonts w:ascii="Arial" w:eastAsia="Times New Roman" w:hAnsi="Arial" w:cs="Arial"/>
                <w:color w:val="000000"/>
                <w:sz w:val="20"/>
                <w:szCs w:val="20"/>
                <w:lang w:eastAsia="es-UY"/>
              </w:rPr>
              <w:br/>
              <w:t xml:space="preserve">4.1.1.- En aquellos items que así se especifique en la "Lista de Enfermedades y Eventos de Notificación Obligatoria", Anexo I del presente Código se hará en forma inmediata y simultánea a la Unidad de Vigilancia Epidemiológica del Departamento de Epidemiología y al Centro de Información y Asesoramiento Toxicológico (C.I.A.T.) de la Facultad de Medicina, Universidad de la República. </w:t>
            </w:r>
            <w:r w:rsidRPr="002C4A1E">
              <w:rPr>
                <w:rFonts w:ascii="Arial" w:eastAsia="Times New Roman" w:hAnsi="Arial" w:cs="Arial"/>
                <w:color w:val="000000"/>
                <w:sz w:val="20"/>
                <w:szCs w:val="20"/>
                <w:lang w:eastAsia="es-UY"/>
              </w:rPr>
              <w:br/>
              <w:t xml:space="preserve">4.2. -La declaración de las enfermedades y eventos incluido en el Artículo 2, Grupo B de la "Lista de Enfermedades y Eventos de Notificación Obligatoria" según consta en el Anexo I del </w:t>
            </w:r>
            <w:r w:rsidRPr="002C4A1E">
              <w:rPr>
                <w:rFonts w:ascii="Arial" w:eastAsia="Times New Roman" w:hAnsi="Arial" w:cs="Arial"/>
                <w:color w:val="000000"/>
                <w:sz w:val="20"/>
                <w:szCs w:val="20"/>
                <w:lang w:eastAsia="es-UY"/>
              </w:rPr>
              <w:lastRenderedPageBreak/>
              <w:t xml:space="preserve">presente Código, se hará dentro de la primera semana a partir de la sospecha de la enfermedad mediante comunicación telefónica, fax, telegrama, correo, correo electrónico o personalmente según lo dispuesto en el artículo 5 del presente Código. </w:t>
            </w:r>
            <w:r w:rsidRPr="002C4A1E">
              <w:rPr>
                <w:rFonts w:ascii="Arial" w:eastAsia="Times New Roman" w:hAnsi="Arial" w:cs="Arial"/>
                <w:color w:val="000000"/>
                <w:sz w:val="20"/>
                <w:szCs w:val="20"/>
                <w:lang w:eastAsia="es-UY"/>
              </w:rPr>
              <w:br/>
              <w:t xml:space="preserve">4.3.- La notificación será siempre referida a la ocurrencia de casos de enfermedades y eventos o existencia de riesgos (notificación positiva) definidos en el presente Código a excepción de aquellos casos en que se determine la obligación de notificar la ausencia de casos (notificación negativa) en períodos establecidos. </w:t>
            </w:r>
            <w:r w:rsidRPr="002C4A1E">
              <w:rPr>
                <w:rFonts w:ascii="Arial" w:eastAsia="Times New Roman" w:hAnsi="Arial" w:cs="Arial"/>
                <w:color w:val="000000"/>
                <w:sz w:val="20"/>
                <w:szCs w:val="20"/>
                <w:lang w:eastAsia="es-UY"/>
              </w:rPr>
              <w:br/>
              <w:t xml:space="preserve">4.4. -Toda declaración de las enfermedades o eventos incluidos en el presente Código debe ser registrada en un formulario (escrito o en formato electrónico) individual para cada caso, donde consten como mínimo los siguientes datos de la persona afectada: nombre y apellido, edad, sexo, domicilio habitual, lugar y fecha de internación (si corresponde), así como: la información básica sobre la enfermedad o evento que motiva la notificación, fecha de la notificación e identificación de la persona notificante. </w:t>
            </w:r>
            <w:r w:rsidRPr="002C4A1E">
              <w:rPr>
                <w:rFonts w:ascii="Arial" w:eastAsia="Times New Roman" w:hAnsi="Arial" w:cs="Arial"/>
                <w:color w:val="000000"/>
                <w:sz w:val="20"/>
                <w:szCs w:val="20"/>
                <w:lang w:eastAsia="es-UY"/>
              </w:rPr>
              <w:br/>
              <w:t xml:space="preserve">En aquellos casos en los que no se pueda o no se deba indicar el nombre de la persona afectada, se deberá sustituir por un número auto generado o equivalente. </w:t>
            </w:r>
            <w:r w:rsidRPr="002C4A1E">
              <w:rPr>
                <w:rFonts w:ascii="Arial" w:eastAsia="Times New Roman" w:hAnsi="Arial" w:cs="Arial"/>
                <w:color w:val="000000"/>
                <w:sz w:val="20"/>
                <w:szCs w:val="20"/>
                <w:lang w:eastAsia="es-UY"/>
              </w:rPr>
              <w:br/>
              <w:t xml:space="preserve">4.5.- La notificación será siempre referida a casos individuales salvo en aquellas circunstancias en que por tratarse de brotes epidémicos de rápida eclosión u otras que determine el Departamento de Epidemiología del Ministerio de Salud Pública, podrá aceptarse la notificación conjunta sin individualizar cada caso, estableciéndose en la misma el número de casos y sus características en común.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4" w:name="art/5"/>
            <w:r w:rsidRPr="002C4A1E">
              <w:rPr>
                <w:rFonts w:ascii="Arial" w:eastAsia="Times New Roman" w:hAnsi="Arial" w:cs="Arial"/>
                <w:b/>
                <w:bCs/>
                <w:color w:val="000000"/>
                <w:sz w:val="20"/>
                <w:szCs w:val="20"/>
                <w:lang w:eastAsia="es-UY"/>
              </w:rPr>
              <w:t>ART. 5º.-</w:t>
            </w:r>
            <w:bookmarkEnd w:id="4"/>
            <w:r w:rsidRPr="002C4A1E">
              <w:rPr>
                <w:rFonts w:ascii="Arial" w:eastAsia="Times New Roman" w:hAnsi="Arial" w:cs="Arial"/>
                <w:color w:val="000000"/>
                <w:sz w:val="20"/>
                <w:szCs w:val="20"/>
                <w:lang w:eastAsia="es-UY"/>
              </w:rPr>
              <w:br/>
              <w:t xml:space="preserve">La declaración obligatoria determinada por el presente Código se hará a la Unidad de Vigilancia Epidemiológica del Departamento de Epidemiología de la División Salud de la Población perteneciente a la Dirección General de la Salud del Ministerio de Salud Pública.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5" w:name="art/6"/>
            <w:r w:rsidRPr="002C4A1E">
              <w:rPr>
                <w:rFonts w:ascii="Arial" w:eastAsia="Times New Roman" w:hAnsi="Arial" w:cs="Arial"/>
                <w:b/>
                <w:bCs/>
                <w:color w:val="000000"/>
                <w:sz w:val="20"/>
                <w:szCs w:val="20"/>
                <w:lang w:eastAsia="es-UY"/>
              </w:rPr>
              <w:t>ART. 6º.-</w:t>
            </w:r>
            <w:bookmarkEnd w:id="5"/>
            <w:r w:rsidRPr="002C4A1E">
              <w:rPr>
                <w:rFonts w:ascii="Arial" w:eastAsia="Times New Roman" w:hAnsi="Arial" w:cs="Arial"/>
                <w:color w:val="000000"/>
                <w:sz w:val="20"/>
                <w:szCs w:val="20"/>
                <w:lang w:eastAsia="es-UY"/>
              </w:rPr>
              <w:br/>
              <w:t xml:space="preserve">Las autoridades sanitarias a que se refieren los artículos 1, 4 y 9 del presente Código son: </w:t>
            </w:r>
            <w:r w:rsidRPr="002C4A1E">
              <w:rPr>
                <w:rFonts w:ascii="Arial" w:eastAsia="Times New Roman" w:hAnsi="Arial" w:cs="Arial"/>
                <w:color w:val="000000"/>
                <w:sz w:val="20"/>
                <w:szCs w:val="20"/>
                <w:lang w:eastAsia="es-UY"/>
              </w:rPr>
              <w:br/>
              <w:t xml:space="preserve">En Montevideo la Unidad de Vigilancia Epidemiológica del Departamento de Epidemiología de la División Salud de la Población perteneciente a la Dirección General de la Salud del Ministerio de Salud Pública. </w:t>
            </w:r>
            <w:r w:rsidRPr="002C4A1E">
              <w:rPr>
                <w:rFonts w:ascii="Arial" w:eastAsia="Times New Roman" w:hAnsi="Arial" w:cs="Arial"/>
                <w:color w:val="000000"/>
                <w:sz w:val="20"/>
                <w:szCs w:val="20"/>
                <w:lang w:eastAsia="es-UY"/>
              </w:rPr>
              <w:br/>
              <w:t xml:space="preserve">En los demás departamentos, la autoridad de Salud Pública dependiente de la Dirección General de la Salud del Ministerio de Salud Publica, o en su defecto la Dirección de los Servicios dependiente de la Administración de los Servicios de Salud del Estado (A.S.S.E.) que ejerce su jurisdicción inmediata sobre la zona donde se produce el caso, entendiéndose por tal aquella geográficamente más próxima dentro del mismo Departamento.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6" w:name="art/7"/>
            <w:r w:rsidRPr="002C4A1E">
              <w:rPr>
                <w:rFonts w:ascii="Arial" w:eastAsia="Times New Roman" w:hAnsi="Arial" w:cs="Arial"/>
                <w:b/>
                <w:bCs/>
                <w:color w:val="000000"/>
                <w:sz w:val="20"/>
                <w:szCs w:val="20"/>
                <w:lang w:eastAsia="es-UY"/>
              </w:rPr>
              <w:t>ART. 7º.-</w:t>
            </w:r>
            <w:bookmarkEnd w:id="6"/>
            <w:r w:rsidRPr="002C4A1E">
              <w:rPr>
                <w:rFonts w:ascii="Arial" w:eastAsia="Times New Roman" w:hAnsi="Arial" w:cs="Arial"/>
                <w:color w:val="000000"/>
                <w:sz w:val="20"/>
                <w:szCs w:val="20"/>
                <w:lang w:eastAsia="es-UY"/>
              </w:rPr>
              <w:br/>
              <w:t xml:space="preserve">El Ministerio de Salud Pública por intermedio de la Unidad de Vigilancia Epidemiológica del Departamento de Epidemiología de la División Salud de la Población perteneciente a la Dirección General de la Salud, proporcionará los formularios para la notificación y asesorará a los médicos o servicios notificantes sobre los detalles relativos a la misma, así como sobre las medidas de control y prevención si corresponde. </w:t>
            </w:r>
            <w:r w:rsidRPr="002C4A1E">
              <w:rPr>
                <w:rFonts w:ascii="Arial" w:eastAsia="Times New Roman" w:hAnsi="Arial" w:cs="Arial"/>
                <w:color w:val="000000"/>
                <w:sz w:val="20"/>
                <w:szCs w:val="20"/>
                <w:lang w:eastAsia="es-UY"/>
              </w:rPr>
              <w:br/>
              <w:t xml:space="preserve">La carencia de formularios no exime de la obligatoriedad de la notificación.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7" w:name="art/8"/>
            <w:r w:rsidRPr="002C4A1E">
              <w:rPr>
                <w:rFonts w:ascii="Arial" w:eastAsia="Times New Roman" w:hAnsi="Arial" w:cs="Arial"/>
                <w:b/>
                <w:bCs/>
                <w:color w:val="000000"/>
                <w:sz w:val="20"/>
                <w:szCs w:val="20"/>
                <w:lang w:eastAsia="es-UY"/>
              </w:rPr>
              <w:t>ART. 8º.-</w:t>
            </w:r>
            <w:bookmarkEnd w:id="7"/>
            <w:r w:rsidRPr="002C4A1E">
              <w:rPr>
                <w:rFonts w:ascii="Arial" w:eastAsia="Times New Roman" w:hAnsi="Arial" w:cs="Arial"/>
                <w:color w:val="000000"/>
                <w:sz w:val="20"/>
                <w:szCs w:val="20"/>
                <w:lang w:eastAsia="es-UY"/>
              </w:rPr>
              <w:br/>
              <w:t xml:space="preserve">Cuando la notificación se refiere a una enfermedad profesional según se establece en la Ley N° 16.074 y Decreto N° 167/981 del 8 de abril de 1981, o un evento vinculado al trabajo, ello se hará constar en la notificación.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8" w:name="art/9"/>
            <w:r w:rsidRPr="002C4A1E">
              <w:rPr>
                <w:rFonts w:ascii="Arial" w:eastAsia="Times New Roman" w:hAnsi="Arial" w:cs="Arial"/>
                <w:b/>
                <w:bCs/>
                <w:color w:val="000000"/>
                <w:sz w:val="20"/>
                <w:szCs w:val="20"/>
                <w:lang w:eastAsia="es-UY"/>
              </w:rPr>
              <w:t>ART. 9º.-</w:t>
            </w:r>
            <w:bookmarkEnd w:id="8"/>
            <w:r w:rsidRPr="002C4A1E">
              <w:rPr>
                <w:rFonts w:ascii="Arial" w:eastAsia="Times New Roman" w:hAnsi="Arial" w:cs="Arial"/>
                <w:color w:val="000000"/>
                <w:sz w:val="20"/>
                <w:szCs w:val="20"/>
                <w:lang w:eastAsia="es-UY"/>
              </w:rPr>
              <w:br/>
              <w:t xml:space="preserve">9.1.- Las autoridades locales de Salud Pública y el Departamento de Epidemiología de la División Salud de la Población perteneciente a la Dirección General de la Salud del Ministerio de Salud Pública llevaran un registro de las notificaciones recibidas. </w:t>
            </w:r>
            <w:r w:rsidRPr="002C4A1E">
              <w:rPr>
                <w:rFonts w:ascii="Arial" w:eastAsia="Times New Roman" w:hAnsi="Arial" w:cs="Arial"/>
                <w:color w:val="000000"/>
                <w:sz w:val="20"/>
                <w:szCs w:val="20"/>
                <w:lang w:eastAsia="es-UY"/>
              </w:rPr>
              <w:br/>
              <w:t xml:space="preserve">9.2.- Todos los servicios de asistencia médica quedan obligados a llevar un registro cronológico de las notificaciones realizadas, con la fecha de la misma, el nombre de la persona que notificó </w:t>
            </w:r>
            <w:r w:rsidRPr="002C4A1E">
              <w:rPr>
                <w:rFonts w:ascii="Arial" w:eastAsia="Times New Roman" w:hAnsi="Arial" w:cs="Arial"/>
                <w:color w:val="000000"/>
                <w:sz w:val="20"/>
                <w:szCs w:val="20"/>
                <w:lang w:eastAsia="es-UY"/>
              </w:rPr>
              <w:lastRenderedPageBreak/>
              <w:t xml:space="preserve">y los datos del caso o evento notificado.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9" w:name="art/10"/>
            <w:r w:rsidRPr="002C4A1E">
              <w:rPr>
                <w:rFonts w:ascii="Arial" w:eastAsia="Times New Roman" w:hAnsi="Arial" w:cs="Arial"/>
                <w:b/>
                <w:bCs/>
                <w:color w:val="000000"/>
                <w:sz w:val="20"/>
                <w:szCs w:val="20"/>
                <w:lang w:eastAsia="es-UY"/>
              </w:rPr>
              <w:t>ART. 10.-</w:t>
            </w:r>
            <w:bookmarkEnd w:id="9"/>
            <w:r w:rsidRPr="002C4A1E">
              <w:rPr>
                <w:rFonts w:ascii="Arial" w:eastAsia="Times New Roman" w:hAnsi="Arial" w:cs="Arial"/>
                <w:color w:val="000000"/>
                <w:sz w:val="20"/>
                <w:szCs w:val="20"/>
                <w:lang w:eastAsia="es-UY"/>
              </w:rPr>
              <w:br/>
              <w:t xml:space="preserve">Departamento de Epidemiología de la División Salud de la Población perteneciente a la Dirección General de la Salud del Ministerio de Salud Pública realizará, en forma periódica y por los medios que resulten más convenientes, la difusión de la información surgida del procesamiento y análisis de los datos relativos a las enfermedades y eventos de declaración obligatoria.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10" w:name="art/11"/>
            <w:r w:rsidRPr="002C4A1E">
              <w:rPr>
                <w:rFonts w:ascii="Arial" w:eastAsia="Times New Roman" w:hAnsi="Arial" w:cs="Arial"/>
                <w:b/>
                <w:bCs/>
                <w:color w:val="000000"/>
                <w:sz w:val="20"/>
                <w:szCs w:val="20"/>
                <w:lang w:eastAsia="es-UY"/>
              </w:rPr>
              <w:t>ART. 11.-</w:t>
            </w:r>
            <w:bookmarkEnd w:id="10"/>
            <w:r w:rsidRPr="002C4A1E">
              <w:rPr>
                <w:rFonts w:ascii="Arial" w:eastAsia="Times New Roman" w:hAnsi="Arial" w:cs="Arial"/>
                <w:color w:val="000000"/>
                <w:sz w:val="20"/>
                <w:szCs w:val="20"/>
                <w:lang w:eastAsia="es-UY"/>
              </w:rPr>
              <w:br/>
              <w:t xml:space="preserve">El Ministerio de Salud Pública determinará la forma y frecuencia con que el Departamento de Epidemiología informará a las autoridades ministeriales sobre las enfermedades y eventos de declaración obligatoria.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11" w:name="art/12"/>
            <w:r w:rsidRPr="002C4A1E">
              <w:rPr>
                <w:rFonts w:ascii="Arial" w:eastAsia="Times New Roman" w:hAnsi="Arial" w:cs="Arial"/>
                <w:b/>
                <w:bCs/>
                <w:color w:val="000000"/>
                <w:sz w:val="20"/>
                <w:szCs w:val="20"/>
                <w:lang w:eastAsia="es-UY"/>
              </w:rPr>
              <w:t>ART. 12.-</w:t>
            </w:r>
            <w:bookmarkEnd w:id="11"/>
            <w:r w:rsidRPr="002C4A1E">
              <w:rPr>
                <w:rFonts w:ascii="Arial" w:eastAsia="Times New Roman" w:hAnsi="Arial" w:cs="Arial"/>
                <w:color w:val="000000"/>
                <w:sz w:val="20"/>
                <w:szCs w:val="20"/>
                <w:lang w:eastAsia="es-UY"/>
              </w:rPr>
              <w:br/>
              <w:t xml:space="preserve">La Unidad de Vigilancia Epidemiológica del Departamento de Epidemiología de la División Salud de la Población perteneciente a la Dirección General de la Salud informará a otros ministerios y dependencias estatales sobre la ocurrencia de casos de enfermedades o eventos de declaración obligatoria cuando corresponda en función de la naturaleza de los mismos o de las medidas de prevención y control.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12" w:name="art/13"/>
            <w:r w:rsidRPr="002C4A1E">
              <w:rPr>
                <w:rFonts w:ascii="Arial" w:eastAsia="Times New Roman" w:hAnsi="Arial" w:cs="Arial"/>
                <w:b/>
                <w:bCs/>
                <w:color w:val="000000"/>
                <w:sz w:val="20"/>
                <w:szCs w:val="20"/>
                <w:lang w:eastAsia="es-UY"/>
              </w:rPr>
              <w:t>ART. 13.-</w:t>
            </w:r>
            <w:bookmarkEnd w:id="12"/>
            <w:r w:rsidRPr="002C4A1E">
              <w:rPr>
                <w:rFonts w:ascii="Arial" w:eastAsia="Times New Roman" w:hAnsi="Arial" w:cs="Arial"/>
                <w:color w:val="000000"/>
                <w:sz w:val="20"/>
                <w:szCs w:val="20"/>
                <w:lang w:eastAsia="es-UY"/>
              </w:rPr>
              <w:br/>
              <w:t xml:space="preserve">13.1.- Notificado uno o más casos de enfermedad u evento de declaración obligatoria comprendido en el presente Código y constatada la oposición a los procedimientos de investigación, medidas de prevención y control u otras medidas dictadas por las autoridades sanitarias en relación con la misma, se aplicarán las sanciones correspondientes de acuerdo a las disposiciones legales pertinentes. </w:t>
            </w:r>
            <w:r w:rsidRPr="002C4A1E">
              <w:rPr>
                <w:rFonts w:ascii="Arial" w:eastAsia="Times New Roman" w:hAnsi="Arial" w:cs="Arial"/>
                <w:color w:val="000000"/>
                <w:sz w:val="20"/>
                <w:szCs w:val="20"/>
                <w:lang w:eastAsia="es-UY"/>
              </w:rPr>
              <w:br/>
              <w:t xml:space="preserve">13.2.- La omisión de la notificación oportuna y de acuerdo a lo dispuesto por el presente Código por parte de las personas que determina el mismo en el artículo 3° en su numeral 3.1, la autoridad sanitaria deberá radicar la denuncia penal de acuerdo con el artículo 224 del Código Penal. </w:t>
            </w:r>
            <w:r w:rsidRPr="002C4A1E">
              <w:rPr>
                <w:rFonts w:ascii="Arial" w:eastAsia="Times New Roman" w:hAnsi="Arial" w:cs="Arial"/>
                <w:color w:val="000000"/>
                <w:sz w:val="20"/>
                <w:szCs w:val="20"/>
                <w:lang w:eastAsia="es-UY"/>
              </w:rPr>
              <w:br/>
              <w:t xml:space="preserve">13.3.- La omisión de la notificación oportuna y de acuerdo a lo dispuesto por el presente Código por parte de las personas que determina el mismo en el artículo 3° en su numeral 3.2, será pasible de las sanciones administrativas o las que correspondan de acuerdo con las disposiciones legales vigentes. </w:t>
            </w:r>
            <w:r w:rsidRPr="002C4A1E">
              <w:rPr>
                <w:rFonts w:ascii="Arial" w:eastAsia="Times New Roman" w:hAnsi="Arial" w:cs="Arial"/>
                <w:color w:val="000000"/>
                <w:sz w:val="20"/>
                <w:szCs w:val="20"/>
                <w:lang w:eastAsia="es-UY"/>
              </w:rPr>
              <w:br/>
              <w:t xml:space="preserve">13.4.- La notificación por parte de las personas indicadas en el artículo 3° en su numeral 3.2. </w:t>
            </w:r>
            <w:proofErr w:type="gramStart"/>
            <w:r w:rsidRPr="002C4A1E">
              <w:rPr>
                <w:rFonts w:ascii="Arial" w:eastAsia="Times New Roman" w:hAnsi="Arial" w:cs="Arial"/>
                <w:color w:val="000000"/>
                <w:sz w:val="20"/>
                <w:szCs w:val="20"/>
                <w:lang w:eastAsia="es-UY"/>
              </w:rPr>
              <w:t>no</w:t>
            </w:r>
            <w:proofErr w:type="gramEnd"/>
            <w:r w:rsidRPr="002C4A1E">
              <w:rPr>
                <w:rFonts w:ascii="Arial" w:eastAsia="Times New Roman" w:hAnsi="Arial" w:cs="Arial"/>
                <w:color w:val="000000"/>
                <w:sz w:val="20"/>
                <w:szCs w:val="20"/>
                <w:lang w:eastAsia="es-UY"/>
              </w:rPr>
              <w:t xml:space="preserve"> exime de responsabilidad a las personas establecidas en el artículo 3° en su numeral 3.1.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13" w:name="art/14"/>
            <w:r w:rsidRPr="002C4A1E">
              <w:rPr>
                <w:rFonts w:ascii="Arial" w:eastAsia="Times New Roman" w:hAnsi="Arial" w:cs="Arial"/>
                <w:b/>
                <w:bCs/>
                <w:color w:val="000000"/>
                <w:sz w:val="20"/>
                <w:szCs w:val="20"/>
                <w:lang w:eastAsia="es-UY"/>
              </w:rPr>
              <w:t>ART. 14.-</w:t>
            </w:r>
            <w:bookmarkEnd w:id="13"/>
            <w:r w:rsidRPr="002C4A1E">
              <w:rPr>
                <w:rFonts w:ascii="Arial" w:eastAsia="Times New Roman" w:hAnsi="Arial" w:cs="Arial"/>
                <w:color w:val="000000"/>
                <w:sz w:val="20"/>
                <w:szCs w:val="20"/>
                <w:lang w:eastAsia="es-UY"/>
              </w:rPr>
              <w:br/>
              <w:t xml:space="preserve">Los Anexos I y II que acompañan al presente Código forman parte del mismo y sus contenidos podrán ser actualizados por el Ministerio de Salud Pública de acuerdo a los requerimientos de la situación epidemiológica y a los avances que determine el conocimiento científico y tecnológico.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bookmarkStart w:id="14" w:name="art/15"/>
            <w:r w:rsidRPr="002C4A1E">
              <w:rPr>
                <w:rFonts w:ascii="Arial" w:eastAsia="Times New Roman" w:hAnsi="Arial" w:cs="Arial"/>
                <w:b/>
                <w:bCs/>
                <w:color w:val="000000"/>
                <w:sz w:val="20"/>
                <w:szCs w:val="20"/>
                <w:lang w:eastAsia="es-UY"/>
              </w:rPr>
              <w:t>ART. 15.-</w:t>
            </w:r>
            <w:bookmarkEnd w:id="14"/>
            <w:r w:rsidRPr="002C4A1E">
              <w:rPr>
                <w:rFonts w:ascii="Arial" w:eastAsia="Times New Roman" w:hAnsi="Arial" w:cs="Arial"/>
                <w:color w:val="000000"/>
                <w:sz w:val="20"/>
                <w:szCs w:val="20"/>
                <w:lang w:eastAsia="es-UY"/>
              </w:rPr>
              <w:br/>
              <w:t>Comuniquese. Publíquese.</w:t>
            </w:r>
            <w:r w:rsidRPr="002C4A1E">
              <w:rPr>
                <w:rFonts w:ascii="Arial" w:eastAsia="Times New Roman" w:hAnsi="Arial" w:cs="Arial"/>
                <w:color w:val="000000"/>
                <w:sz w:val="20"/>
                <w:szCs w:val="20"/>
                <w:lang w:eastAsia="es-UY"/>
              </w:rPr>
              <w:br/>
            </w:r>
            <w:r w:rsidRPr="002C4A1E">
              <w:rPr>
                <w:rFonts w:ascii="Arial" w:eastAsia="Times New Roman" w:hAnsi="Arial" w:cs="Arial"/>
                <w:b/>
                <w:bCs/>
                <w:color w:val="000000"/>
                <w:sz w:val="20"/>
                <w:szCs w:val="20"/>
                <w:lang w:eastAsia="es-UY"/>
              </w:rPr>
              <w:t>BATLLE</w:t>
            </w:r>
            <w:r w:rsidRPr="002C4A1E">
              <w:rPr>
                <w:rFonts w:ascii="Arial" w:eastAsia="Times New Roman" w:hAnsi="Arial" w:cs="Arial"/>
                <w:color w:val="000000"/>
                <w:sz w:val="20"/>
                <w:szCs w:val="20"/>
                <w:lang w:eastAsia="es-UY"/>
              </w:rPr>
              <w:t xml:space="preserve"> - CONRADO BONILLA - DANIEL BORRELLI - GUILLERMO VALLES- ISAAC ALFIE - YAMANDU FAU - LEONARDO GUZMAN - LUCIO CACERES - JOSE VILLAR - SANTIAGO PEREZ DEL CASTILLO - MARTIN AGUIRREZABALA - JUAN BORDABERRY - SAUL IRURETA. </w:t>
            </w:r>
          </w:p>
          <w:p w:rsidR="002C4A1E" w:rsidRPr="002C4A1E" w:rsidRDefault="002C4A1E" w:rsidP="002C4A1E">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t xml:space="preserve">ANEXO I </w:t>
            </w:r>
          </w:p>
          <w:p w:rsidR="002C4A1E" w:rsidRPr="002C4A1E" w:rsidRDefault="002C4A1E" w:rsidP="002C4A1E">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t>Enfermedades y eventos de declaración obligatoria</w:t>
            </w:r>
          </w:p>
          <w:p w:rsidR="002C4A1E" w:rsidRPr="002C4A1E" w:rsidRDefault="002C4A1E" w:rsidP="002C4A1E">
            <w:pPr>
              <w:spacing w:after="0"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Los casos y circunstancias sujetos a vigilancia epidemiológica mediante la notificación </w:t>
            </w:r>
            <w:r w:rsidRPr="002C4A1E">
              <w:rPr>
                <w:rFonts w:ascii="Arial" w:eastAsia="Times New Roman" w:hAnsi="Arial" w:cs="Arial"/>
                <w:color w:val="000000"/>
                <w:sz w:val="20"/>
                <w:szCs w:val="20"/>
                <w:lang w:eastAsia="es-UY"/>
              </w:rPr>
              <w:lastRenderedPageBreak/>
              <w:t xml:space="preserve">establecida en el “Código Nacional sobre Enfermedades y Eventos Sanitarios de Notificación Obligatoria” se organizan en dos grupos según los plazos para su declaración al Ministerio de Salud Pública, Unidad de Vigilancia Epidemiológica. </w:t>
            </w:r>
            <w:r w:rsidRPr="002C4A1E">
              <w:rPr>
                <w:rFonts w:ascii="Arial" w:eastAsia="Times New Roman" w:hAnsi="Arial" w:cs="Arial"/>
                <w:color w:val="000000"/>
                <w:sz w:val="20"/>
                <w:szCs w:val="20"/>
                <w:lang w:eastAsia="es-UY"/>
              </w:rPr>
              <w:br/>
              <w:t xml:space="preserve">Con excepción de VIH/SIDA, en todos los casos la notificación debe realizarse frente a la sospecha de la enfermedad aún no confirmada por el laboratorio.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Grupo 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Notificación inmediata en el día por la vía de comunicación más rápida disponible: telefónica, fax, telegrama o personalmente a partir de que se sospecha la enfermedad.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Dengue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Difteria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 eruptiva febril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 meningocóccica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 transmitida por alimentos (ETA)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Enfermedades de notificación internacional </w:t>
            </w:r>
          </w:p>
          <w:p w:rsidR="002C4A1E" w:rsidRPr="002C4A1E" w:rsidRDefault="002C4A1E" w:rsidP="002C4A1E">
            <w:pPr>
              <w:numPr>
                <w:ilvl w:val="1"/>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 Fiebre Amarilla </w:t>
            </w:r>
          </w:p>
          <w:p w:rsidR="002C4A1E" w:rsidRPr="002C4A1E" w:rsidRDefault="002C4A1E" w:rsidP="002C4A1E">
            <w:pPr>
              <w:numPr>
                <w:ilvl w:val="1"/>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b. Cólera </w:t>
            </w:r>
          </w:p>
          <w:p w:rsidR="002C4A1E" w:rsidRPr="002C4A1E" w:rsidRDefault="002C4A1E" w:rsidP="002C4A1E">
            <w:pPr>
              <w:numPr>
                <w:ilvl w:val="1"/>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 Peste </w:t>
            </w:r>
          </w:p>
          <w:p w:rsidR="002C4A1E" w:rsidRPr="002C4A1E" w:rsidRDefault="002C4A1E" w:rsidP="002C4A1E">
            <w:pPr>
              <w:numPr>
                <w:ilvl w:val="1"/>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 Sindrome respiratorio agudo severo (SARS)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Hantavirosis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Intoxicaciones agudas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Meningitis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Ofidismo, araneísmo (Notificación inmediata por doble vía a la Unidad de Vigilancia Epidemiológica y al Centro de Información y Asesoramiento Toxicológico – CIAT- de la Facultad de Medicina)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Parálisis fláccida aguda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Personas mordidas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Rabia animal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Rabia humana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Sífilis connatal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Sindrome de rubéola congénita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Tétanos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Tétanos neonatal </w:t>
            </w:r>
          </w:p>
          <w:p w:rsidR="002C4A1E" w:rsidRPr="002C4A1E" w:rsidRDefault="002C4A1E" w:rsidP="002C4A1E">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Cualquier enfermedad o evento sanitario de riesgo que se presente en forma inusitada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Grupo B</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Notificación dentro de la primera semana a partir de la sospecha de la enfermedad mediante comunicación telefónica, fax, telegrama, correo, correo electrónico o personalmente.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Accidente de trabajo y enfermedad profesional (Notificación por doble vía a la Unidad de Vigilancia Epidemiológica y al Banco de Seguros del Estado)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Accidente de tránsito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Brucelosis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Carbunco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 de Chagas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 de Creutzfeldt - Jakob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Exposición a contaminantes ambientales: </w:t>
            </w:r>
          </w:p>
          <w:p w:rsidR="002C4A1E" w:rsidRPr="002C4A1E" w:rsidRDefault="002C4A1E" w:rsidP="002C4A1E">
            <w:pPr>
              <w:numPr>
                <w:ilvl w:val="1"/>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 Plomo </w:t>
            </w:r>
          </w:p>
          <w:p w:rsidR="002C4A1E" w:rsidRPr="002C4A1E" w:rsidRDefault="002C4A1E" w:rsidP="002C4A1E">
            <w:pPr>
              <w:numPr>
                <w:ilvl w:val="1"/>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b. Mercurio </w:t>
            </w:r>
          </w:p>
          <w:p w:rsidR="002C4A1E" w:rsidRPr="002C4A1E" w:rsidRDefault="002C4A1E" w:rsidP="002C4A1E">
            <w:pPr>
              <w:numPr>
                <w:ilvl w:val="1"/>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 Plaguicidas: organofosforados y/o carbamato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Fiebre Q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Fiebre tifoidea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Hepatitis 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Hepatitis B, C y otras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Hidatidosis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Lepra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Leptospirosis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Malaria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Notificación negativa semanal de: </w:t>
            </w:r>
          </w:p>
          <w:p w:rsidR="002C4A1E" w:rsidRPr="002C4A1E" w:rsidRDefault="002C4A1E" w:rsidP="002C4A1E">
            <w:pPr>
              <w:numPr>
                <w:ilvl w:val="1"/>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 Enfermedad eruptiva febril </w:t>
            </w:r>
          </w:p>
          <w:p w:rsidR="002C4A1E" w:rsidRPr="002C4A1E" w:rsidRDefault="002C4A1E" w:rsidP="002C4A1E">
            <w:pPr>
              <w:numPr>
                <w:ilvl w:val="1"/>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b. Parálisis fláccida aguda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Paperas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Riesgo nutricional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Tos convulsa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Tuberculosis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Varicela </w:t>
            </w:r>
          </w:p>
          <w:p w:rsidR="002C4A1E" w:rsidRPr="002C4A1E" w:rsidRDefault="002C4A1E" w:rsidP="002C4A1E">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VIH/SIDA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Otros mecanismos de vigilancia epidemiológica:</w:t>
            </w:r>
            <w:r w:rsidRPr="002C4A1E">
              <w:rPr>
                <w:rFonts w:ascii="Arial" w:eastAsia="Times New Roman" w:hAnsi="Arial" w:cs="Arial"/>
                <w:color w:val="000000"/>
                <w:sz w:val="20"/>
                <w:szCs w:val="20"/>
                <w:lang w:eastAsia="es-UY"/>
              </w:rPr>
              <w:t xml:space="preserve"> </w:t>
            </w:r>
          </w:p>
          <w:p w:rsidR="002C4A1E" w:rsidRPr="002C4A1E" w:rsidRDefault="002C4A1E" w:rsidP="002C4A1E">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Vigilancia por puestos centinela </w:t>
            </w:r>
          </w:p>
          <w:p w:rsidR="002C4A1E" w:rsidRPr="002C4A1E" w:rsidRDefault="002C4A1E" w:rsidP="002C4A1E">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Influenza (Gripe) </w:t>
            </w:r>
          </w:p>
          <w:p w:rsidR="002C4A1E" w:rsidRPr="002C4A1E" w:rsidRDefault="002C4A1E" w:rsidP="002C4A1E">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Diarreas </w:t>
            </w:r>
          </w:p>
          <w:p w:rsidR="002C4A1E" w:rsidRPr="002C4A1E" w:rsidRDefault="002C4A1E" w:rsidP="002C4A1E">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ETS no SIDA </w:t>
            </w:r>
          </w:p>
          <w:p w:rsidR="002C4A1E" w:rsidRPr="002C4A1E" w:rsidRDefault="002C4A1E" w:rsidP="002C4A1E">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Resistencia antimicrobiana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Notificación al Departamento de Laboratorios de Salud Pública, Av. 8 de octubre 2720, 1er. piso, teléfono (02) 487.25.16 o fax (02) 480.70.14 </w:t>
            </w:r>
          </w:p>
          <w:p w:rsidR="002C4A1E" w:rsidRPr="002C4A1E" w:rsidRDefault="002C4A1E" w:rsidP="002C4A1E">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t xml:space="preserve">ANEXO II </w:t>
            </w:r>
          </w:p>
          <w:p w:rsidR="002C4A1E" w:rsidRPr="002C4A1E" w:rsidRDefault="002C4A1E" w:rsidP="002C4A1E">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t>Enfermedades y eventos de declaración obligatoria</w:t>
            </w:r>
          </w:p>
          <w:p w:rsidR="002C4A1E" w:rsidRPr="002C4A1E" w:rsidRDefault="002C4A1E" w:rsidP="002C4A1E">
            <w:pPr>
              <w:spacing w:after="0"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Grupo 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Notificación inmediata en el día por la vía de comunicación más rápida disponible: telefónica, fax, telegrama o personalmente a partir de que se sospecha la enfermedad.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 Dengue</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con enfermedad febril aguda con duración máxima de 7 días y con dos o más de las siguientes manifestaciones: cefalea, dolor retro-orbitario, mialgias, artralgias, erupción cutánea, manifestaciones hemorrágicas y leucopenia, y que resida o haya estado en los últimos 15 días en zona con circulación de virus de Dengue.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laboratorio, por alguna de las siguientes técnicas: </w:t>
            </w:r>
            <w:r w:rsidRPr="002C4A1E">
              <w:rPr>
                <w:rFonts w:ascii="Arial" w:eastAsia="Times New Roman" w:hAnsi="Arial" w:cs="Arial"/>
                <w:color w:val="000000"/>
                <w:sz w:val="20"/>
                <w:szCs w:val="20"/>
                <w:lang w:eastAsia="es-UY"/>
              </w:rPr>
              <w:br/>
              <w:t xml:space="preserve">- detección de IgM específica por enzimoinmunoensayo (ELISA) de captura, </w:t>
            </w:r>
            <w:r w:rsidRPr="002C4A1E">
              <w:rPr>
                <w:rFonts w:ascii="Arial" w:eastAsia="Times New Roman" w:hAnsi="Arial" w:cs="Arial"/>
                <w:color w:val="000000"/>
                <w:sz w:val="20"/>
                <w:szCs w:val="20"/>
                <w:lang w:eastAsia="es-UY"/>
              </w:rPr>
              <w:br/>
              <w:t xml:space="preserve">- cuadruplicación de títulos de IgG en sueros pareados, </w:t>
            </w:r>
            <w:r w:rsidRPr="002C4A1E">
              <w:rPr>
                <w:rFonts w:ascii="Arial" w:eastAsia="Times New Roman" w:hAnsi="Arial" w:cs="Arial"/>
                <w:color w:val="000000"/>
                <w:sz w:val="20"/>
                <w:szCs w:val="20"/>
                <w:lang w:eastAsia="es-UY"/>
              </w:rPr>
              <w:br/>
              <w:t xml:space="preserve">- reacción en cadena de la polimerasa (PCR), </w:t>
            </w:r>
            <w:r w:rsidRPr="002C4A1E">
              <w:rPr>
                <w:rFonts w:ascii="Arial" w:eastAsia="Times New Roman" w:hAnsi="Arial" w:cs="Arial"/>
                <w:color w:val="000000"/>
                <w:sz w:val="20"/>
                <w:szCs w:val="20"/>
                <w:lang w:eastAsia="es-UY"/>
              </w:rPr>
              <w:br/>
              <w:t xml:space="preserve">- aislamiento viral, </w:t>
            </w:r>
            <w:r w:rsidRPr="002C4A1E">
              <w:rPr>
                <w:rFonts w:ascii="Arial" w:eastAsia="Times New Roman" w:hAnsi="Arial" w:cs="Arial"/>
                <w:color w:val="000000"/>
                <w:sz w:val="20"/>
                <w:szCs w:val="20"/>
                <w:lang w:eastAsia="es-UY"/>
              </w:rPr>
              <w:br/>
              <w:t xml:space="preserve">- inmunohistoquímica,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neutralización o inhibición de hemaglutinación (IHA),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nexo epidemiológico con un caso confirmado por laboratorio; o en el curso de una epidemia, por criterio clínico-epidemiológico.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Las acciones en terreno se deben tomar en forma conjunta con la comunidad, miembros organizados y responsables de saneamiento, control de vectores, medio ambiente y equipo de salud. </w:t>
            </w:r>
            <w:r w:rsidRPr="002C4A1E">
              <w:rPr>
                <w:rFonts w:ascii="Arial" w:eastAsia="Times New Roman" w:hAnsi="Arial" w:cs="Arial"/>
                <w:color w:val="000000"/>
                <w:sz w:val="20"/>
                <w:szCs w:val="20"/>
                <w:lang w:eastAsia="es-UY"/>
              </w:rPr>
              <w:br/>
              <w:t xml:space="preserve">Información, educación y comunicación a la población sobre la biología del mosquito, el modo de transmisión y los métodos de prevención y control. </w:t>
            </w:r>
            <w:r w:rsidRPr="002C4A1E">
              <w:rPr>
                <w:rFonts w:ascii="Arial" w:eastAsia="Times New Roman" w:hAnsi="Arial" w:cs="Arial"/>
                <w:color w:val="000000"/>
                <w:sz w:val="20"/>
                <w:szCs w:val="20"/>
                <w:lang w:eastAsia="es-UY"/>
              </w:rPr>
              <w:br/>
              <w:t xml:space="preserve">Intensificación de la vigilancia de los casos febriles en áreas de riesgo potencial. </w:t>
            </w:r>
            <w:r w:rsidRPr="002C4A1E">
              <w:rPr>
                <w:rFonts w:ascii="Arial" w:eastAsia="Times New Roman" w:hAnsi="Arial" w:cs="Arial"/>
                <w:color w:val="000000"/>
                <w:sz w:val="20"/>
                <w:szCs w:val="20"/>
                <w:lang w:eastAsia="es-UY"/>
              </w:rPr>
              <w:br/>
              <w:t xml:space="preserve">Intensificar las medidas de control tendientes a eliminar potenciales sitios comunitarios y domiciliarios de cría del mosquito. </w:t>
            </w:r>
            <w:r w:rsidRPr="002C4A1E">
              <w:rPr>
                <w:rFonts w:ascii="Arial" w:eastAsia="Times New Roman" w:hAnsi="Arial" w:cs="Arial"/>
                <w:color w:val="000000"/>
                <w:sz w:val="20"/>
                <w:szCs w:val="20"/>
                <w:lang w:eastAsia="es-UY"/>
              </w:rPr>
              <w:br/>
              <w:t xml:space="preserve">Eliminación de criaderos de mosquitos mediante la destrucción, inversión de recipientes, aplicación de larvicidas (tratamiento focal); eliminación de adultos mediante la fumigación (tratamiento espacial). </w:t>
            </w:r>
            <w:r w:rsidRPr="002C4A1E">
              <w:rPr>
                <w:rFonts w:ascii="Arial" w:eastAsia="Times New Roman" w:hAnsi="Arial" w:cs="Arial"/>
                <w:color w:val="000000"/>
                <w:sz w:val="20"/>
                <w:szCs w:val="20"/>
                <w:lang w:eastAsia="es-UY"/>
              </w:rPr>
              <w:br/>
              <w:t xml:space="preserve">Campañas de eliminación de cacharros y tratamiento comunal de basura. </w:t>
            </w:r>
            <w:r w:rsidRPr="002C4A1E">
              <w:rPr>
                <w:rFonts w:ascii="Arial" w:eastAsia="Times New Roman" w:hAnsi="Arial" w:cs="Arial"/>
                <w:color w:val="000000"/>
                <w:sz w:val="20"/>
                <w:szCs w:val="20"/>
                <w:lang w:eastAsia="es-UY"/>
              </w:rPr>
              <w:br/>
              <w:t xml:space="preserve">Control del caso </w:t>
            </w:r>
            <w:r w:rsidRPr="002C4A1E">
              <w:rPr>
                <w:rFonts w:ascii="Arial" w:eastAsia="Times New Roman" w:hAnsi="Arial" w:cs="Arial"/>
                <w:color w:val="000000"/>
                <w:sz w:val="20"/>
                <w:szCs w:val="20"/>
                <w:lang w:eastAsia="es-UY"/>
              </w:rPr>
              <w:br/>
              <w:t xml:space="preserve">Inicio de investigación epidemiológica de los casos sospechosos, para localizar el foco. </w:t>
            </w:r>
            <w:r w:rsidRPr="002C4A1E">
              <w:rPr>
                <w:rFonts w:ascii="Arial" w:eastAsia="Times New Roman" w:hAnsi="Arial" w:cs="Arial"/>
                <w:color w:val="000000"/>
                <w:sz w:val="20"/>
                <w:szCs w:val="20"/>
                <w:lang w:eastAsia="es-UY"/>
              </w:rPr>
              <w:br/>
              <w:t xml:space="preserve">Evitar el contacto del mosquito con el paciente, hasta que desaparezca la fiebre por medio de mosquiteros, repelentes, mallas metálicas. Si surge Dengue en áreas de foco de Fiebre Amarilla se recomienda la inmunización contra la Fiebre Amarilla a la población según normas, ya que ambas enfermedades urbanas comparten el mismo vector.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Dengue hemorrágico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sospechoso o confirmado de Dengue clásico con una o más de las siguientes manifestaciones: </w:t>
            </w:r>
            <w:r w:rsidRPr="002C4A1E">
              <w:rPr>
                <w:rFonts w:ascii="Arial" w:eastAsia="Times New Roman" w:hAnsi="Arial" w:cs="Arial"/>
                <w:color w:val="000000"/>
                <w:sz w:val="20"/>
                <w:szCs w:val="20"/>
                <w:lang w:eastAsia="es-UY"/>
              </w:rPr>
              <w:br/>
              <w:t xml:space="preserve">- prueba del torniquete positiva. </w:t>
            </w:r>
            <w:r w:rsidRPr="002C4A1E">
              <w:rPr>
                <w:rFonts w:ascii="Arial" w:eastAsia="Times New Roman" w:hAnsi="Arial" w:cs="Arial"/>
                <w:color w:val="000000"/>
                <w:sz w:val="20"/>
                <w:szCs w:val="20"/>
                <w:lang w:eastAsia="es-UY"/>
              </w:rPr>
              <w:br/>
              <w:t xml:space="preserve">- petequias, equimosis o púrpura. </w:t>
            </w:r>
            <w:r w:rsidRPr="002C4A1E">
              <w:rPr>
                <w:rFonts w:ascii="Arial" w:eastAsia="Times New Roman" w:hAnsi="Arial" w:cs="Arial"/>
                <w:color w:val="000000"/>
                <w:sz w:val="20"/>
                <w:szCs w:val="20"/>
                <w:lang w:eastAsia="es-UY"/>
              </w:rPr>
              <w:br/>
              <w:t xml:space="preserve">- hemorragia de las mucosas, sitios de inyección u otros sitios. </w:t>
            </w:r>
            <w:r w:rsidRPr="002C4A1E">
              <w:rPr>
                <w:rFonts w:ascii="Arial" w:eastAsia="Times New Roman" w:hAnsi="Arial" w:cs="Arial"/>
                <w:color w:val="000000"/>
                <w:sz w:val="20"/>
                <w:szCs w:val="20"/>
                <w:lang w:eastAsia="es-UY"/>
              </w:rPr>
              <w:br/>
              <w:t xml:space="preserve">- hematemesis o melena. </w:t>
            </w:r>
            <w:r w:rsidRPr="002C4A1E">
              <w:rPr>
                <w:rFonts w:ascii="Arial" w:eastAsia="Times New Roman" w:hAnsi="Arial" w:cs="Arial"/>
                <w:color w:val="000000"/>
                <w:sz w:val="20"/>
                <w:szCs w:val="20"/>
                <w:lang w:eastAsia="es-UY"/>
              </w:rPr>
              <w:br/>
              <w:t xml:space="preserve">- trombocitopenia (100.000 células o menos por mm3). </w:t>
            </w:r>
            <w:r w:rsidRPr="002C4A1E">
              <w:rPr>
                <w:rFonts w:ascii="Arial" w:eastAsia="Times New Roman" w:hAnsi="Arial" w:cs="Arial"/>
                <w:color w:val="000000"/>
                <w:sz w:val="20"/>
                <w:szCs w:val="20"/>
                <w:lang w:eastAsia="es-UY"/>
              </w:rPr>
              <w:br/>
              <w:t xml:space="preserve">- indicios de pérdida de plasma debida al aumento de la permeabilidad vascular, con una o más de las siguientes manifestaciones: </w:t>
            </w:r>
            <w:r w:rsidRPr="002C4A1E">
              <w:rPr>
                <w:rFonts w:ascii="Arial" w:eastAsia="Times New Roman" w:hAnsi="Arial" w:cs="Arial"/>
                <w:color w:val="000000"/>
                <w:sz w:val="20"/>
                <w:szCs w:val="20"/>
                <w:lang w:eastAsia="es-UY"/>
              </w:rPr>
              <w:br/>
              <w:t xml:space="preserve">- aumento del índice hematocrito en 20% o más del valor normal; </w:t>
            </w:r>
            <w:r w:rsidRPr="002C4A1E">
              <w:rPr>
                <w:rFonts w:ascii="Arial" w:eastAsia="Times New Roman" w:hAnsi="Arial" w:cs="Arial"/>
                <w:color w:val="000000"/>
                <w:sz w:val="20"/>
                <w:szCs w:val="20"/>
                <w:lang w:eastAsia="es-UY"/>
              </w:rPr>
              <w:br/>
              <w:t xml:space="preserve">- disminución del 20% o más del índice hematocrito después del tratamiento de reposición de pérdidas en comparación con el nivel de base. </w:t>
            </w:r>
            <w:r w:rsidRPr="002C4A1E">
              <w:rPr>
                <w:rFonts w:ascii="Arial" w:eastAsia="Times New Roman" w:hAnsi="Arial" w:cs="Arial"/>
                <w:color w:val="000000"/>
                <w:sz w:val="20"/>
                <w:szCs w:val="20"/>
                <w:lang w:eastAsia="es-UY"/>
              </w:rPr>
              <w:br/>
              <w:t xml:space="preserve">- derrame pleural, hipoproteinemia y ascitis.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sospechoso de Dengue hemorrágico con confirmación laboratorial por alguna de estas técnicas: </w:t>
            </w:r>
            <w:r w:rsidRPr="002C4A1E">
              <w:rPr>
                <w:rFonts w:ascii="Arial" w:eastAsia="Times New Roman" w:hAnsi="Arial" w:cs="Arial"/>
                <w:color w:val="000000"/>
                <w:sz w:val="20"/>
                <w:szCs w:val="20"/>
                <w:lang w:eastAsia="es-UY"/>
              </w:rPr>
              <w:br/>
              <w:t xml:space="preserve">- detección de IgM específica por enzimoinmunoensayo (ELISA) de captura, </w:t>
            </w:r>
            <w:r w:rsidRPr="002C4A1E">
              <w:rPr>
                <w:rFonts w:ascii="Arial" w:eastAsia="Times New Roman" w:hAnsi="Arial" w:cs="Arial"/>
                <w:color w:val="000000"/>
                <w:sz w:val="20"/>
                <w:szCs w:val="20"/>
                <w:lang w:eastAsia="es-UY"/>
              </w:rPr>
              <w:br/>
              <w:t xml:space="preserve">- cuadruplicación de títulos de IgG en sueros pareados, </w:t>
            </w:r>
            <w:r w:rsidRPr="002C4A1E">
              <w:rPr>
                <w:rFonts w:ascii="Arial" w:eastAsia="Times New Roman" w:hAnsi="Arial" w:cs="Arial"/>
                <w:color w:val="000000"/>
                <w:sz w:val="20"/>
                <w:szCs w:val="20"/>
                <w:lang w:eastAsia="es-UY"/>
              </w:rPr>
              <w:br/>
              <w:t xml:space="preserve">- reacción en cadena de la polimerasa (PCR), </w:t>
            </w:r>
            <w:r w:rsidRPr="002C4A1E">
              <w:rPr>
                <w:rFonts w:ascii="Arial" w:eastAsia="Times New Roman" w:hAnsi="Arial" w:cs="Arial"/>
                <w:color w:val="000000"/>
                <w:sz w:val="20"/>
                <w:szCs w:val="20"/>
                <w:lang w:eastAsia="es-UY"/>
              </w:rPr>
              <w:br/>
              <w:t xml:space="preserve">- aislamiento viral, </w:t>
            </w:r>
            <w:r w:rsidRPr="002C4A1E">
              <w:rPr>
                <w:rFonts w:ascii="Arial" w:eastAsia="Times New Roman" w:hAnsi="Arial" w:cs="Arial"/>
                <w:color w:val="000000"/>
                <w:sz w:val="20"/>
                <w:szCs w:val="20"/>
                <w:lang w:eastAsia="es-UY"/>
              </w:rPr>
              <w:br/>
              <w:t xml:space="preserve">- inmunohistoquímica,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neutralización o inhibición de hemaglutinación (IHA),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2. Difteria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Toda persona que presenta cuadro agudo de infección orofaríngea, con presencia de seudomembranas blanco-grisáceas adherentes, ocupando las amígdalas y pudiendo invadir otras áreas de la faringe u otras mucosas y piel, con compromiso del estado general y fiebre moderada.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sospechoso, confirmado laboratorialmente por aislamiento de agente etiológico, o por vínculo epidemiológico con un caso confirmado laboratorialmente.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 A todo contacto se le tomará una muestra para cultivo de la región faríngea (independiente de su estado vacunal). </w:t>
            </w:r>
            <w:r w:rsidRPr="002C4A1E">
              <w:rPr>
                <w:rFonts w:ascii="Arial" w:eastAsia="Times New Roman" w:hAnsi="Arial" w:cs="Arial"/>
                <w:color w:val="000000"/>
                <w:sz w:val="20"/>
                <w:szCs w:val="20"/>
                <w:lang w:eastAsia="es-UY"/>
              </w:rPr>
              <w:br/>
              <w:t xml:space="preserve">b) Una vez tomada la muestra se iniciará quimioprofilaxis a todas las personas de cualquier edad que no estén vacunadas, con estado desconocido de vacunación o vacunación incompleta. </w:t>
            </w:r>
            <w:r w:rsidRPr="002C4A1E">
              <w:rPr>
                <w:rFonts w:ascii="Arial" w:eastAsia="Times New Roman" w:hAnsi="Arial" w:cs="Arial"/>
                <w:color w:val="000000"/>
                <w:sz w:val="20"/>
                <w:szCs w:val="20"/>
                <w:lang w:eastAsia="es-UY"/>
              </w:rPr>
              <w:br/>
              <w:t xml:space="preserve">c) Esquema de quimioprofilaxis: </w:t>
            </w:r>
            <w:r w:rsidRPr="002C4A1E">
              <w:rPr>
                <w:rFonts w:ascii="Arial" w:eastAsia="Times New Roman" w:hAnsi="Arial" w:cs="Arial"/>
                <w:color w:val="000000"/>
                <w:sz w:val="20"/>
                <w:szCs w:val="20"/>
                <w:lang w:eastAsia="es-UY"/>
              </w:rPr>
              <w:br/>
              <w:t xml:space="preserve">Se debe efectuar con: </w:t>
            </w:r>
            <w:r w:rsidRPr="002C4A1E">
              <w:rPr>
                <w:rFonts w:ascii="Arial" w:eastAsia="Times New Roman" w:hAnsi="Arial" w:cs="Arial"/>
                <w:color w:val="000000"/>
                <w:sz w:val="20"/>
                <w:szCs w:val="20"/>
                <w:lang w:eastAsia="es-UY"/>
              </w:rPr>
              <w:br/>
              <w:t xml:space="preserve">1) Penicilina benzatínica por vía intramuscular. </w:t>
            </w:r>
            <w:r w:rsidRPr="002C4A1E">
              <w:rPr>
                <w:rFonts w:ascii="Arial" w:eastAsia="Times New Roman" w:hAnsi="Arial" w:cs="Arial"/>
                <w:color w:val="000000"/>
                <w:sz w:val="20"/>
                <w:szCs w:val="20"/>
                <w:lang w:eastAsia="es-UY"/>
              </w:rPr>
              <w:br/>
              <w:t xml:space="preserve">- en niños de menos de 30 kg.: 600.000 U.I. </w:t>
            </w:r>
            <w:r w:rsidRPr="002C4A1E">
              <w:rPr>
                <w:rFonts w:ascii="Arial" w:eastAsia="Times New Roman" w:hAnsi="Arial" w:cs="Arial"/>
                <w:color w:val="000000"/>
                <w:sz w:val="20"/>
                <w:szCs w:val="20"/>
                <w:lang w:eastAsia="es-UY"/>
              </w:rPr>
              <w:br/>
              <w:t xml:space="preserve">- en personas de más de 30 kg.: 1.200.000 U.I. </w:t>
            </w:r>
            <w:r w:rsidRPr="002C4A1E">
              <w:rPr>
                <w:rFonts w:ascii="Arial" w:eastAsia="Times New Roman" w:hAnsi="Arial" w:cs="Arial"/>
                <w:color w:val="000000"/>
                <w:sz w:val="20"/>
                <w:szCs w:val="20"/>
                <w:lang w:eastAsia="es-UY"/>
              </w:rPr>
              <w:br/>
              <w:t xml:space="preserve">2) Eritromicina por vía oral </w:t>
            </w:r>
            <w:r w:rsidRPr="002C4A1E">
              <w:rPr>
                <w:rFonts w:ascii="Arial" w:eastAsia="Times New Roman" w:hAnsi="Arial" w:cs="Arial"/>
                <w:color w:val="000000"/>
                <w:sz w:val="20"/>
                <w:szCs w:val="20"/>
                <w:lang w:eastAsia="es-UY"/>
              </w:rPr>
              <w:br/>
              <w:t xml:space="preserve">- en niños: 40 – 50 mg/kg/día dividido en 4 dosis durante 7 días </w:t>
            </w:r>
            <w:r w:rsidRPr="002C4A1E">
              <w:rPr>
                <w:rFonts w:ascii="Arial" w:eastAsia="Times New Roman" w:hAnsi="Arial" w:cs="Arial"/>
                <w:color w:val="000000"/>
                <w:sz w:val="20"/>
                <w:szCs w:val="20"/>
                <w:lang w:eastAsia="es-UY"/>
              </w:rPr>
              <w:br/>
              <w:t xml:space="preserve">- en adultos: 500 mg cada 6 horas durante 7 días </w:t>
            </w:r>
            <w:r w:rsidRPr="002C4A1E">
              <w:rPr>
                <w:rFonts w:ascii="Arial" w:eastAsia="Times New Roman" w:hAnsi="Arial" w:cs="Arial"/>
                <w:color w:val="000000"/>
                <w:sz w:val="20"/>
                <w:szCs w:val="20"/>
                <w:lang w:eastAsia="es-UY"/>
              </w:rPr>
              <w:br/>
              <w:t xml:space="preserve">d) Se observará durante 7 días para evidenciar la enfermedad. Si el resultado del cultivo del contacto es positivo, se debe realizar un nuevo cultivo al término de la quimioprofilaxis. </w:t>
            </w:r>
            <w:r w:rsidRPr="002C4A1E">
              <w:rPr>
                <w:rFonts w:ascii="Arial" w:eastAsia="Times New Roman" w:hAnsi="Arial" w:cs="Arial"/>
                <w:color w:val="000000"/>
                <w:sz w:val="20"/>
                <w:szCs w:val="20"/>
                <w:lang w:eastAsia="es-UY"/>
              </w:rPr>
              <w:br/>
              <w:t xml:space="preserve">e) Vacunación de bloqueo: será determinada por la Unidad de Inmunizaciones del Dpto de Epidemiología. Se iniciará vacunación con DT o Pentavalente dependiendo de la edad del contacto a las personas no vacunadas, vacunación incompleta o con estado desconocido de vacunación. </w:t>
            </w:r>
            <w:r w:rsidRPr="002C4A1E">
              <w:rPr>
                <w:rFonts w:ascii="Arial" w:eastAsia="Times New Roman" w:hAnsi="Arial" w:cs="Arial"/>
                <w:color w:val="000000"/>
                <w:sz w:val="20"/>
                <w:szCs w:val="20"/>
                <w:lang w:eastAsia="es-UY"/>
              </w:rPr>
              <w:br/>
              <w:t xml:space="preserve">Se dará un refuerzo a las personas con esquema completo para la edad, cuya última dosis haya sido administrada hace más de 5 años.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3. Enfermedad eruptiva febril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Toda persona que presenta fiebre y exantema máculo-papular, acompañado por una o más de las siguientes manifestaciones: tos, coriza, conjuntivitis.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como Sarampión o Rubéola por laboratorio por algunas de las siguientes técnicas: </w:t>
            </w:r>
            <w:r w:rsidRPr="002C4A1E">
              <w:rPr>
                <w:rFonts w:ascii="Arial" w:eastAsia="Times New Roman" w:hAnsi="Arial" w:cs="Arial"/>
                <w:color w:val="000000"/>
                <w:sz w:val="20"/>
                <w:szCs w:val="20"/>
                <w:lang w:eastAsia="es-UY"/>
              </w:rPr>
              <w:br/>
              <w:t xml:space="preserve">- Detección de IgM por ELISA de captura </w:t>
            </w:r>
            <w:r w:rsidRPr="002C4A1E">
              <w:rPr>
                <w:rFonts w:ascii="Arial" w:eastAsia="Times New Roman" w:hAnsi="Arial" w:cs="Arial"/>
                <w:color w:val="000000"/>
                <w:sz w:val="20"/>
                <w:szCs w:val="20"/>
                <w:lang w:eastAsia="es-UY"/>
              </w:rPr>
              <w:br/>
              <w:t xml:space="preserve">- Cuadruplicación de títulos de IgG en sueros pareados,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Aislamiento viral; </w:t>
            </w:r>
            <w:r w:rsidRPr="002C4A1E">
              <w:rPr>
                <w:rFonts w:ascii="Arial" w:eastAsia="Times New Roman" w:hAnsi="Arial" w:cs="Arial"/>
                <w:color w:val="000000"/>
                <w:sz w:val="20"/>
                <w:szCs w:val="20"/>
                <w:lang w:eastAsia="es-UY"/>
              </w:rPr>
              <w:br/>
              <w:t xml:space="preserve">Caso sospechoso confirmado por nexo epidemiológico con un caso confirmado por laboratorio. </w:t>
            </w:r>
            <w:r w:rsidRPr="002C4A1E">
              <w:rPr>
                <w:rFonts w:ascii="Arial" w:eastAsia="Times New Roman" w:hAnsi="Arial" w:cs="Arial"/>
                <w:color w:val="000000"/>
                <w:sz w:val="20"/>
                <w:szCs w:val="20"/>
                <w:lang w:eastAsia="es-UY"/>
              </w:rPr>
              <w:br/>
              <w:t xml:space="preserve">Frente a un caso confirmado por laboratorio o nexo epidemiologico se procede a la inmunización de bloqueo la cual será determinada por la Unidad de Inmunizaciones del Dpto de Epidemiología.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Según pauta internacional (OPS/OMS) para la eliminación o erradicación mediante programas de vacunación y vigilancia epidemiológica. </w:t>
            </w:r>
            <w:r w:rsidRPr="002C4A1E">
              <w:rPr>
                <w:rFonts w:ascii="Arial" w:eastAsia="Times New Roman" w:hAnsi="Arial" w:cs="Arial"/>
                <w:color w:val="000000"/>
                <w:sz w:val="20"/>
                <w:szCs w:val="20"/>
                <w:lang w:eastAsia="es-UY"/>
              </w:rPr>
              <w:br/>
              <w:t xml:space="preserve">La inmunización contra Sarampión y Rubeóla integra el esquema básico del Programa Ampliado de Inmunizaciones del MSP (vacuna triple viral).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4. Enfermedad meningocóccica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con aparición súbita de fiebre (&gt; 38º C) y al menos uno de los siguientes síntomas o signos: </w:t>
            </w:r>
            <w:r w:rsidRPr="002C4A1E">
              <w:rPr>
                <w:rFonts w:ascii="Arial" w:eastAsia="Times New Roman" w:hAnsi="Arial" w:cs="Arial"/>
                <w:color w:val="000000"/>
                <w:sz w:val="20"/>
                <w:szCs w:val="20"/>
                <w:lang w:eastAsia="es-UY"/>
              </w:rPr>
              <w:br/>
              <w:t xml:space="preserve">- Rigidez de nuca </w:t>
            </w:r>
            <w:r w:rsidRPr="002C4A1E">
              <w:rPr>
                <w:rFonts w:ascii="Arial" w:eastAsia="Times New Roman" w:hAnsi="Arial" w:cs="Arial"/>
                <w:color w:val="000000"/>
                <w:sz w:val="20"/>
                <w:szCs w:val="20"/>
                <w:lang w:eastAsia="es-UY"/>
              </w:rPr>
              <w:br/>
              <w:t xml:space="preserve">- Alteración de la conciencia </w:t>
            </w:r>
            <w:r w:rsidRPr="002C4A1E">
              <w:rPr>
                <w:rFonts w:ascii="Arial" w:eastAsia="Times New Roman" w:hAnsi="Arial" w:cs="Arial"/>
                <w:color w:val="000000"/>
                <w:sz w:val="20"/>
                <w:szCs w:val="20"/>
                <w:lang w:eastAsia="es-UY"/>
              </w:rPr>
              <w:br/>
              <w:t xml:space="preserve">- Otros signos de irritación meníngea </w:t>
            </w:r>
            <w:r w:rsidRPr="002C4A1E">
              <w:rPr>
                <w:rFonts w:ascii="Arial" w:eastAsia="Times New Roman" w:hAnsi="Arial" w:cs="Arial"/>
                <w:color w:val="000000"/>
                <w:sz w:val="20"/>
                <w:szCs w:val="20"/>
                <w:lang w:eastAsia="es-UY"/>
              </w:rPr>
              <w:br/>
              <w:t xml:space="preserve">- Erupción cutánea petequial o purpúrica </w:t>
            </w:r>
            <w:r w:rsidRPr="002C4A1E">
              <w:rPr>
                <w:rFonts w:ascii="Arial" w:eastAsia="Times New Roman" w:hAnsi="Arial" w:cs="Arial"/>
                <w:color w:val="000000"/>
                <w:sz w:val="20"/>
                <w:szCs w:val="20"/>
                <w:lang w:eastAsia="es-UY"/>
              </w:rPr>
              <w:br/>
              <w:t xml:space="preserve">En los menores de 1 año de edad se sospecha meningitis cuando la fiebre está acompañada de abombamiento de fontanela, vómitos, somnolencia, irritabilidad, convulsiones, con o sin erupción petequial.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una de estas dos técnicas: </w:t>
            </w:r>
            <w:r w:rsidRPr="002C4A1E">
              <w:rPr>
                <w:rFonts w:ascii="Arial" w:eastAsia="Times New Roman" w:hAnsi="Arial" w:cs="Arial"/>
                <w:color w:val="000000"/>
                <w:sz w:val="20"/>
                <w:szCs w:val="20"/>
                <w:lang w:eastAsia="es-UY"/>
              </w:rPr>
              <w:br/>
              <w:t xml:space="preserve">- Aislamiento de Meningococo (Neisseria Meningitidis) por medio de cultivo de Líquido Céfalo Raquídeo (LCR), sangre u otro fluido. </w:t>
            </w:r>
            <w:r w:rsidRPr="002C4A1E">
              <w:rPr>
                <w:rFonts w:ascii="Arial" w:eastAsia="Times New Roman" w:hAnsi="Arial" w:cs="Arial"/>
                <w:color w:val="000000"/>
                <w:sz w:val="20"/>
                <w:szCs w:val="20"/>
                <w:lang w:eastAsia="es-UY"/>
              </w:rPr>
              <w:br/>
              <w:t xml:space="preserve">- Contrainmunoelectroforesis (CIE).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Evitar el hacinamiento en las viviendas y los sitios laborales, fomentando la ventilación de los ambientes en lugares con alta concentración de personas.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Quimioprofilaxis: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Se debe realizar preferentemente dentro de las primeras 24 horas y hasta 10 días de la sospecha del caso índice. Administrarse a los contactos íntimos entendiendo como tales a los integrantes del núcleo familiar conviviente, y aquellos que no siendo convivientes se comportan como tales en tiempo y proximidad. </w:t>
            </w:r>
            <w:r w:rsidRPr="002C4A1E">
              <w:rPr>
                <w:rFonts w:ascii="Arial" w:eastAsia="Times New Roman" w:hAnsi="Arial" w:cs="Arial"/>
                <w:color w:val="000000"/>
                <w:sz w:val="20"/>
                <w:szCs w:val="20"/>
                <w:lang w:eastAsia="es-UY"/>
              </w:rPr>
              <w:br/>
              <w:t xml:space="preserve">Si se trata de un escolar, la quimioprofilaxis la recibirán dentro del aula, sólo los compañeros que cumplan con el concepto de contacto íntimo. </w:t>
            </w:r>
            <w:r w:rsidRPr="002C4A1E">
              <w:rPr>
                <w:rFonts w:ascii="Arial" w:eastAsia="Times New Roman" w:hAnsi="Arial" w:cs="Arial"/>
                <w:color w:val="000000"/>
                <w:sz w:val="20"/>
                <w:szCs w:val="20"/>
                <w:lang w:eastAsia="es-UY"/>
              </w:rPr>
              <w:br/>
              <w:t xml:space="preserve">En los jardines maternales y guardería se hará quimioprofilaxis a todos los niños y a todos los adultos que trabajen con esos niños.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Esquema profiláctico: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Medicamento de elección: Rifampicina, de acuerdo al siguiente esquema: </w:t>
            </w:r>
            <w:r w:rsidRPr="002C4A1E">
              <w:rPr>
                <w:rFonts w:ascii="Arial" w:eastAsia="Times New Roman" w:hAnsi="Arial" w:cs="Arial"/>
                <w:color w:val="000000"/>
                <w:sz w:val="20"/>
                <w:szCs w:val="20"/>
                <w:lang w:eastAsia="es-UY"/>
              </w:rPr>
              <w:br/>
              <w:t xml:space="preserve">Adultos: 600 mg. cada 12 horas durante 2 días. </w:t>
            </w:r>
            <w:r w:rsidRPr="002C4A1E">
              <w:rPr>
                <w:rFonts w:ascii="Arial" w:eastAsia="Times New Roman" w:hAnsi="Arial" w:cs="Arial"/>
                <w:color w:val="000000"/>
                <w:sz w:val="20"/>
                <w:szCs w:val="20"/>
                <w:lang w:eastAsia="es-UY"/>
              </w:rPr>
              <w:br/>
              <w:t xml:space="preserve">Niños entre 1 mes y 12 años: 10 mg/kg de peso/dosis, sin sobrepasar los 600 mg. por dosis cada 12 horas durante 2 días. </w:t>
            </w:r>
            <w:r w:rsidRPr="002C4A1E">
              <w:rPr>
                <w:rFonts w:ascii="Arial" w:eastAsia="Times New Roman" w:hAnsi="Arial" w:cs="Arial"/>
                <w:color w:val="000000"/>
                <w:sz w:val="20"/>
                <w:szCs w:val="20"/>
                <w:lang w:eastAsia="es-UY"/>
              </w:rPr>
              <w:br/>
              <w:t xml:space="preserve">Niños menores de 1 mes: 5 mg/kg. </w:t>
            </w:r>
            <w:proofErr w:type="gramStart"/>
            <w:r w:rsidRPr="002C4A1E">
              <w:rPr>
                <w:rFonts w:ascii="Arial" w:eastAsia="Times New Roman" w:hAnsi="Arial" w:cs="Arial"/>
                <w:color w:val="000000"/>
                <w:sz w:val="20"/>
                <w:szCs w:val="20"/>
                <w:lang w:eastAsia="es-UY"/>
              </w:rPr>
              <w:t>de</w:t>
            </w:r>
            <w:proofErr w:type="gramEnd"/>
            <w:r w:rsidRPr="002C4A1E">
              <w:rPr>
                <w:rFonts w:ascii="Arial" w:eastAsia="Times New Roman" w:hAnsi="Arial" w:cs="Arial"/>
                <w:color w:val="000000"/>
                <w:sz w:val="20"/>
                <w:szCs w:val="20"/>
                <w:lang w:eastAsia="es-UY"/>
              </w:rPr>
              <w:t xml:space="preserve"> peso /dosis cada 12 horas durante 2 días.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Inmunización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Vacunación de bloqueo: se indica frente a la ocurrencia de brotes de enfermedad por meningococo A ó C, en personas mayores de 2 años de edad expuestas al riesgo de contraer la enfermedad. </w:t>
            </w:r>
            <w:r w:rsidRPr="002C4A1E">
              <w:rPr>
                <w:rFonts w:ascii="Arial" w:eastAsia="Times New Roman" w:hAnsi="Arial" w:cs="Arial"/>
                <w:color w:val="000000"/>
                <w:sz w:val="20"/>
                <w:szCs w:val="20"/>
                <w:lang w:eastAsia="es-UY"/>
              </w:rPr>
              <w:br/>
              <w:t xml:space="preserve">Vacunación contra meningococo B: se realiza en forma de campaña masiva por parte del MSP frente a epidemia o riesgo de epidemia.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5. Enfermedad transmitida por alimentos (ETA)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Definición de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Es el caso de una persona que ha enfermado después del consumo de alimentos y/o agua, considerados contaminados, vista la evidencia epidemiológica, la clínica compatible y eventualmente el análisis de laboratorio.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de brote de ETA: Episodio en el cual dos o más personas presentan una enfermedad similar después de ingerir alimentos, incluida el agua, del mismo origen y donde la evidencia epidemiológica o el análisis de laboratorio implica a los alimentos y/o al agua como vehículo de la misma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Medidas de prevención y control: </w:t>
            </w:r>
            <w:r w:rsidRPr="002C4A1E">
              <w:rPr>
                <w:rFonts w:ascii="Arial" w:eastAsia="Times New Roman" w:hAnsi="Arial" w:cs="Arial"/>
                <w:color w:val="000000"/>
                <w:sz w:val="20"/>
                <w:szCs w:val="20"/>
                <w:lang w:eastAsia="es-UY"/>
              </w:rPr>
              <w:br/>
              <w:t xml:space="preserve">- Investigación y control de brotes </w:t>
            </w:r>
            <w:r w:rsidRPr="002C4A1E">
              <w:rPr>
                <w:rFonts w:ascii="Arial" w:eastAsia="Times New Roman" w:hAnsi="Arial" w:cs="Arial"/>
                <w:color w:val="000000"/>
                <w:sz w:val="20"/>
                <w:szCs w:val="20"/>
                <w:lang w:eastAsia="es-UY"/>
              </w:rPr>
              <w:br/>
              <w:t xml:space="preserve">- Programas de inocuidad de alimentos </w:t>
            </w:r>
            <w:r w:rsidRPr="002C4A1E">
              <w:rPr>
                <w:rFonts w:ascii="Arial" w:eastAsia="Times New Roman" w:hAnsi="Arial" w:cs="Arial"/>
                <w:color w:val="000000"/>
                <w:sz w:val="20"/>
                <w:szCs w:val="20"/>
                <w:lang w:eastAsia="es-UY"/>
              </w:rPr>
              <w:br/>
              <w:t xml:space="preserve">- Educación sobre riesgos y medidas de higiene en la preparación, manipulación y almacenamiento de alimentos.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6. Enfermedades de notificación internacional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 Fiebre Amarilla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con cuadro febril agudo de inicio súbito hasta 7 días, residente o que estuvo en área con circulación viral (ocurrencia de casos humanos, epizootias o aislamiento viral en mosquitos), en los últimos 15 días, sin antecedentes de vacunación antiamarílica o con situación vacunal desconocida. </w:t>
            </w:r>
            <w:r w:rsidRPr="002C4A1E">
              <w:rPr>
                <w:rFonts w:ascii="Arial" w:eastAsia="Times New Roman" w:hAnsi="Arial" w:cs="Arial"/>
                <w:color w:val="000000"/>
                <w:sz w:val="20"/>
                <w:szCs w:val="20"/>
                <w:lang w:eastAsia="es-UY"/>
              </w:rPr>
              <w:br/>
              <w:t xml:space="preserve">En situación epidemiológica de país con transmisión como Brasil, se considera también: individuo con cuadro febril agudo de inicio súbito, seguido de ictericia y/o manifestaciones hemorrágicas independiente de la situación vacunal para Fiebre Amarilla.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laboratorio por alguna de las siguientes técnicas: </w:t>
            </w:r>
            <w:r w:rsidRPr="002C4A1E">
              <w:rPr>
                <w:rFonts w:ascii="Arial" w:eastAsia="Times New Roman" w:hAnsi="Arial" w:cs="Arial"/>
                <w:color w:val="000000"/>
                <w:sz w:val="20"/>
                <w:szCs w:val="20"/>
                <w:lang w:eastAsia="es-UY"/>
              </w:rPr>
              <w:br/>
              <w:t xml:space="preserve">- Presencia de IgM específica. </w:t>
            </w:r>
            <w:r w:rsidRPr="002C4A1E">
              <w:rPr>
                <w:rFonts w:ascii="Arial" w:eastAsia="Times New Roman" w:hAnsi="Arial" w:cs="Arial"/>
                <w:color w:val="000000"/>
                <w:sz w:val="20"/>
                <w:szCs w:val="20"/>
                <w:lang w:eastAsia="es-UY"/>
              </w:rPr>
              <w:br/>
              <w:t xml:space="preserve">- Aumento cuádruple de los niveles de IgG sérica en pares de muestras de suero (fase aguda y convalescencia).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Detección del antígeno específico en los tejidos por inmunohistoquímica. </w:t>
            </w:r>
            <w:r w:rsidRPr="002C4A1E">
              <w:rPr>
                <w:rFonts w:ascii="Arial" w:eastAsia="Times New Roman" w:hAnsi="Arial" w:cs="Arial"/>
                <w:color w:val="000000"/>
                <w:sz w:val="20"/>
                <w:szCs w:val="20"/>
                <w:lang w:eastAsia="es-UY"/>
              </w:rPr>
              <w:br/>
              <w:t xml:space="preserve">- Detección de secuencias genómicas del virus (PCR) en la sangre u órganos. </w:t>
            </w:r>
            <w:r w:rsidRPr="002C4A1E">
              <w:rPr>
                <w:rFonts w:ascii="Arial" w:eastAsia="Times New Roman" w:hAnsi="Arial" w:cs="Arial"/>
                <w:color w:val="000000"/>
                <w:sz w:val="20"/>
                <w:szCs w:val="20"/>
                <w:lang w:eastAsia="es-UY"/>
              </w:rPr>
              <w:br/>
              <w:t xml:space="preserve">- Aislamiento viral </w:t>
            </w:r>
            <w:r w:rsidRPr="002C4A1E">
              <w:rPr>
                <w:rFonts w:ascii="Arial" w:eastAsia="Times New Roman" w:hAnsi="Arial" w:cs="Arial"/>
                <w:color w:val="000000"/>
                <w:sz w:val="20"/>
                <w:szCs w:val="20"/>
                <w:lang w:eastAsia="es-UY"/>
              </w:rPr>
              <w:br/>
              <w:t xml:space="preserve">Caso sospechoso confirmado por criterio clínico – epidemiológico: </w:t>
            </w:r>
            <w:r w:rsidRPr="002C4A1E">
              <w:rPr>
                <w:rFonts w:ascii="Arial" w:eastAsia="Times New Roman" w:hAnsi="Arial" w:cs="Arial"/>
                <w:color w:val="000000"/>
                <w:sz w:val="20"/>
                <w:szCs w:val="20"/>
                <w:lang w:eastAsia="es-UY"/>
              </w:rPr>
              <w:br/>
              <w:t xml:space="preserve">- Caso sospechoso que evolucionó a la muerte en menos de 10 días desde el inicio de los síntomas, sin confirmación de laboratorio, en el curso de un brote en que otros casos fueron confirmados por laboratorio. </w:t>
            </w:r>
            <w:r w:rsidRPr="002C4A1E">
              <w:rPr>
                <w:rFonts w:ascii="Arial" w:eastAsia="Times New Roman" w:hAnsi="Arial" w:cs="Arial"/>
                <w:color w:val="000000"/>
                <w:sz w:val="20"/>
                <w:szCs w:val="20"/>
                <w:lang w:eastAsia="es-UY"/>
              </w:rPr>
              <w:br/>
              <w:t xml:space="preserve">En situación epidemiológica con transmisión, se considera también individuo sintomático u oligosintomático detectado en búsqueda activa que no haya sido vacunado y que presenta serología (MAC-ELISA) positiva para Fiebre Amarilla.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Las medidas generales para el control y la prevención de la Fiebre Amarilla están contenidas en la Resolución de MERCOSUR (GMC 26/00) </w:t>
            </w:r>
            <w:r w:rsidRPr="002C4A1E">
              <w:rPr>
                <w:rFonts w:ascii="Arial" w:eastAsia="Times New Roman" w:hAnsi="Arial" w:cs="Arial"/>
                <w:color w:val="000000"/>
                <w:sz w:val="20"/>
                <w:szCs w:val="20"/>
                <w:lang w:eastAsia="es-UY"/>
              </w:rPr>
              <w:br/>
              <w:t xml:space="preserve">Instituir programa de vacunación masiva para todas las personas mayores de 6 meses de edad que residen en área endemo-epidémica de Fiebre Amarilla. Frente a la detección de un caso sospechoso en estas áreas debe indicarse vacunación de bloqueo en personas no vacunadas o que se desconoce su estado de vacunación. </w:t>
            </w:r>
            <w:r w:rsidRPr="002C4A1E">
              <w:rPr>
                <w:rFonts w:ascii="Arial" w:eastAsia="Times New Roman" w:hAnsi="Arial" w:cs="Arial"/>
                <w:color w:val="000000"/>
                <w:sz w:val="20"/>
                <w:szCs w:val="20"/>
                <w:lang w:eastAsia="es-UY"/>
              </w:rPr>
              <w:br/>
              <w:t xml:space="preserve">En zonas no endémicas frente a la detección de circulación del virus amarílico en reservorios o vectores, o a la detección de caso autóctono, debe indicarse la vacunación de bloqueo a toda la población mayor de 9 meses residente en la zona en riesgo.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 xml:space="preserve">b. Cólera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 una zona donde la enfermedad no esté presente: </w:t>
            </w:r>
            <w:r w:rsidRPr="002C4A1E">
              <w:rPr>
                <w:rFonts w:ascii="Arial" w:eastAsia="Times New Roman" w:hAnsi="Arial" w:cs="Arial"/>
                <w:color w:val="000000"/>
                <w:sz w:val="20"/>
                <w:szCs w:val="20"/>
                <w:lang w:eastAsia="es-UY"/>
              </w:rPr>
              <w:br/>
              <w:t xml:space="preserve">- Un paciente de 5 años de edad o más, con diarrea acuosa aguda abundante, que puede evolucionar a deshidratación grave o muerte; o </w:t>
            </w:r>
            <w:r w:rsidRPr="002C4A1E">
              <w:rPr>
                <w:rFonts w:ascii="Arial" w:eastAsia="Times New Roman" w:hAnsi="Arial" w:cs="Arial"/>
                <w:color w:val="000000"/>
                <w:sz w:val="20"/>
                <w:szCs w:val="20"/>
                <w:lang w:eastAsia="es-UY"/>
              </w:rPr>
              <w:br/>
              <w:t xml:space="preserve">- Un paciente de cualquier edad con diarrea que en los 10 días anteriores al inicio de los síntomas haya estado en una zona con ocurrencia de casos de Cólera; o </w:t>
            </w:r>
            <w:r w:rsidRPr="002C4A1E">
              <w:rPr>
                <w:rFonts w:ascii="Arial" w:eastAsia="Times New Roman" w:hAnsi="Arial" w:cs="Arial"/>
                <w:color w:val="000000"/>
                <w:sz w:val="20"/>
                <w:szCs w:val="20"/>
                <w:lang w:eastAsia="es-UY"/>
              </w:rPr>
              <w:br/>
              <w:t xml:space="preserve">- Contacto de caso sospechoso que resida en el mismo domicilio o en la misma comunidad cerrada y que presente diarrea. </w:t>
            </w:r>
            <w:r w:rsidRPr="002C4A1E">
              <w:rPr>
                <w:rFonts w:ascii="Arial" w:eastAsia="Times New Roman" w:hAnsi="Arial" w:cs="Arial"/>
                <w:color w:val="000000"/>
                <w:sz w:val="20"/>
                <w:szCs w:val="20"/>
                <w:lang w:eastAsia="es-UY"/>
              </w:rPr>
              <w:br/>
              <w:t xml:space="preserve">En una zona donde hay epidemia de Cólera, persona con diarrea acuosa aguda, con o sin vómitos, independiente de la edad.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Caso sospechoso confirmado por laboratorio por aislamiento de cepas toxigénicas de Vibrio cholerae 01 o 0139; o </w:t>
            </w:r>
            <w:r w:rsidRPr="002C4A1E">
              <w:rPr>
                <w:rFonts w:ascii="Arial" w:eastAsia="Times New Roman" w:hAnsi="Arial" w:cs="Arial"/>
                <w:color w:val="000000"/>
                <w:sz w:val="20"/>
                <w:szCs w:val="20"/>
                <w:lang w:eastAsia="es-UY"/>
              </w:rPr>
              <w:br/>
              <w:t xml:space="preserve">- Por nexo epidemiológico con un caso confirmado por laboratorio.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Acciones sobre las personas: </w:t>
            </w:r>
            <w:r w:rsidRPr="002C4A1E">
              <w:rPr>
                <w:rFonts w:ascii="Arial" w:eastAsia="Times New Roman" w:hAnsi="Arial" w:cs="Arial"/>
                <w:color w:val="000000"/>
                <w:sz w:val="20"/>
                <w:szCs w:val="20"/>
                <w:lang w:eastAsia="es-UY"/>
              </w:rPr>
              <w:br/>
              <w:t xml:space="preserve">Vigilar a los contactos del caso índice durante cinco días a partir de su última exposición. Se entiende por contacto, aquellas personas que comparten los alimentos, agua y el alojamiento, con un paciente de Cólera. </w:t>
            </w:r>
            <w:r w:rsidRPr="002C4A1E">
              <w:rPr>
                <w:rFonts w:ascii="Arial" w:eastAsia="Times New Roman" w:hAnsi="Arial" w:cs="Arial"/>
                <w:color w:val="000000"/>
                <w:sz w:val="20"/>
                <w:szCs w:val="20"/>
                <w:lang w:eastAsia="es-UY"/>
              </w:rPr>
              <w:br/>
              <w:t xml:space="preserve">Educar a la población acerca de la higiene personal y la preparación y manipulación de alimentos: </w:t>
            </w:r>
            <w:r w:rsidRPr="002C4A1E">
              <w:rPr>
                <w:rFonts w:ascii="Arial" w:eastAsia="Times New Roman" w:hAnsi="Arial" w:cs="Arial"/>
                <w:color w:val="000000"/>
                <w:sz w:val="20"/>
                <w:szCs w:val="20"/>
                <w:lang w:eastAsia="es-UY"/>
              </w:rPr>
              <w:br/>
              <w:t xml:space="preserve">- Lavarse las manos antes de manipular los alimentos, antes de comer y después de ir al baño. </w:t>
            </w:r>
            <w:r w:rsidRPr="002C4A1E">
              <w:rPr>
                <w:rFonts w:ascii="Arial" w:eastAsia="Times New Roman" w:hAnsi="Arial" w:cs="Arial"/>
                <w:color w:val="000000"/>
                <w:sz w:val="20"/>
                <w:szCs w:val="20"/>
                <w:lang w:eastAsia="es-UY"/>
              </w:rPr>
              <w:br/>
              <w:t xml:space="preserve">- Beber solo agua potable o si no se dispone de ella, hervir o utilizar hipoclorito de sodio en toda el agua para el consumo. </w:t>
            </w:r>
            <w:r w:rsidRPr="002C4A1E">
              <w:rPr>
                <w:rFonts w:ascii="Arial" w:eastAsia="Times New Roman" w:hAnsi="Arial" w:cs="Arial"/>
                <w:color w:val="000000"/>
                <w:sz w:val="20"/>
                <w:szCs w:val="20"/>
                <w:lang w:eastAsia="es-UY"/>
              </w:rPr>
              <w:br/>
              <w:t xml:space="preserve">- Consumir todos los alimentos cocidos, especialmente verduras y mariscos. Después de la </w:t>
            </w:r>
            <w:r w:rsidRPr="002C4A1E">
              <w:rPr>
                <w:rFonts w:ascii="Arial" w:eastAsia="Times New Roman" w:hAnsi="Arial" w:cs="Arial"/>
                <w:color w:val="000000"/>
                <w:sz w:val="20"/>
                <w:szCs w:val="20"/>
                <w:lang w:eastAsia="es-UY"/>
              </w:rPr>
              <w:lastRenderedPageBreak/>
              <w:t xml:space="preserve">cocción, protegerlos contra la contaminación. </w:t>
            </w:r>
            <w:r w:rsidRPr="002C4A1E">
              <w:rPr>
                <w:rFonts w:ascii="Arial" w:eastAsia="Times New Roman" w:hAnsi="Arial" w:cs="Arial"/>
                <w:color w:val="000000"/>
                <w:sz w:val="20"/>
                <w:szCs w:val="20"/>
                <w:lang w:eastAsia="es-UY"/>
              </w:rPr>
              <w:br/>
              <w:t xml:space="preserve">- La vacuna tiene un efecto profiláctico limitado. Protege sólo entre 3 y 6 meses al 50% de las personas vacunadas y por lo tanto no es apropiada en una epidemia.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Acciones ambientales: </w:t>
            </w:r>
            <w:r w:rsidRPr="002C4A1E">
              <w:rPr>
                <w:rFonts w:ascii="Arial" w:eastAsia="Times New Roman" w:hAnsi="Arial" w:cs="Arial"/>
                <w:color w:val="000000"/>
                <w:sz w:val="20"/>
                <w:szCs w:val="20"/>
                <w:lang w:eastAsia="es-UY"/>
              </w:rPr>
              <w:br/>
              <w:t xml:space="preserve">- Toma de muestras de agua de consumo, alcantarillado y alimentos. </w:t>
            </w:r>
            <w:r w:rsidRPr="002C4A1E">
              <w:rPr>
                <w:rFonts w:ascii="Arial" w:eastAsia="Times New Roman" w:hAnsi="Arial" w:cs="Arial"/>
                <w:color w:val="000000"/>
                <w:sz w:val="20"/>
                <w:szCs w:val="20"/>
                <w:lang w:eastAsia="es-UY"/>
              </w:rPr>
              <w:br/>
              <w:t xml:space="preserve">- Control de los abastos de agua potable, asegurando la calidad microbiológica.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c. Peste</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paciente que visitó en los 10 días previos un área endémica o próxima a un foco natural de transmisión de Peste y que presenta cuadro agudo de fiebre y adenopatías (sintomático ganglionar), o síntomas respiratorios (sintomático neumónico), acompañado o no de manifestaciones clínicas generales de la enfermedad.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laboratorio, con una de las siguientes pruebas: </w:t>
            </w:r>
            <w:r w:rsidRPr="002C4A1E">
              <w:rPr>
                <w:rFonts w:ascii="Arial" w:eastAsia="Times New Roman" w:hAnsi="Arial" w:cs="Arial"/>
                <w:color w:val="000000"/>
                <w:sz w:val="20"/>
                <w:szCs w:val="20"/>
                <w:lang w:eastAsia="es-UY"/>
              </w:rPr>
              <w:br/>
              <w:t xml:space="preserve">- inmunofluorescencia indirecta. </w:t>
            </w:r>
            <w:r w:rsidRPr="002C4A1E">
              <w:rPr>
                <w:rFonts w:ascii="Arial" w:eastAsia="Times New Roman" w:hAnsi="Arial" w:cs="Arial"/>
                <w:color w:val="000000"/>
                <w:sz w:val="20"/>
                <w:szCs w:val="20"/>
                <w:lang w:eastAsia="es-UY"/>
              </w:rPr>
              <w:br/>
              <w:t xml:space="preserve">- hemaglutinación pasiva (PHA). </w:t>
            </w:r>
            <w:r w:rsidRPr="002C4A1E">
              <w:rPr>
                <w:rFonts w:ascii="Arial" w:eastAsia="Times New Roman" w:hAnsi="Arial" w:cs="Arial"/>
                <w:color w:val="000000"/>
                <w:sz w:val="20"/>
                <w:szCs w:val="20"/>
                <w:lang w:eastAsia="es-UY"/>
              </w:rPr>
              <w:br/>
              <w:t xml:space="preserve">- por aislamiento de Yersinia pestis; </w:t>
            </w:r>
            <w:r w:rsidRPr="002C4A1E">
              <w:rPr>
                <w:rFonts w:ascii="Arial" w:eastAsia="Times New Roman" w:hAnsi="Arial" w:cs="Arial"/>
                <w:color w:val="000000"/>
                <w:sz w:val="20"/>
                <w:szCs w:val="20"/>
                <w:lang w:eastAsia="es-UY"/>
              </w:rPr>
              <w:br/>
              <w:t xml:space="preserve">- Dot - ELISA </w:t>
            </w:r>
            <w:r w:rsidRPr="002C4A1E">
              <w:rPr>
                <w:rFonts w:ascii="Arial" w:eastAsia="Times New Roman" w:hAnsi="Arial" w:cs="Arial"/>
                <w:color w:val="000000"/>
                <w:sz w:val="20"/>
                <w:szCs w:val="20"/>
                <w:lang w:eastAsia="es-UY"/>
              </w:rPr>
              <w:br/>
              <w:t xml:space="preserve">Caso sospechoso confirmado por nexo epidemiológico con otro caso confirmado por laboratorio.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Desratización y desinfestación con insecticidas del grupo de los carbamatos y piretroides, de ambientes con roedores y pulgas contaminadas. </w:t>
            </w:r>
            <w:r w:rsidRPr="002C4A1E">
              <w:rPr>
                <w:rFonts w:ascii="Arial" w:eastAsia="Times New Roman" w:hAnsi="Arial" w:cs="Arial"/>
                <w:color w:val="000000"/>
                <w:sz w:val="20"/>
                <w:szCs w:val="20"/>
                <w:lang w:eastAsia="es-UY"/>
              </w:rPr>
              <w:br/>
              <w:t xml:space="preserve">- Acciones educativas para evitar la proliferación de roedores próxima a las viviendas. </w:t>
            </w:r>
            <w:r w:rsidRPr="002C4A1E">
              <w:rPr>
                <w:rFonts w:ascii="Arial" w:eastAsia="Times New Roman" w:hAnsi="Arial" w:cs="Arial"/>
                <w:color w:val="000000"/>
                <w:sz w:val="20"/>
                <w:szCs w:val="20"/>
                <w:lang w:eastAsia="es-UY"/>
              </w:rPr>
              <w:br/>
              <w:t xml:space="preserve">- Evitar contacto con roedores silvestres en áreas de foco de Peste. </w:t>
            </w:r>
            <w:r w:rsidRPr="002C4A1E">
              <w:rPr>
                <w:rFonts w:ascii="Arial" w:eastAsia="Times New Roman" w:hAnsi="Arial" w:cs="Arial"/>
                <w:color w:val="000000"/>
                <w:sz w:val="20"/>
                <w:szCs w:val="20"/>
                <w:lang w:eastAsia="es-UY"/>
              </w:rPr>
              <w:br/>
              <w:t xml:space="preserve">- Monitoreo e identificación precoz de los casos. </w:t>
            </w:r>
            <w:r w:rsidRPr="002C4A1E">
              <w:rPr>
                <w:rFonts w:ascii="Arial" w:eastAsia="Times New Roman" w:hAnsi="Arial" w:cs="Arial"/>
                <w:color w:val="000000"/>
                <w:sz w:val="20"/>
                <w:szCs w:val="20"/>
                <w:lang w:eastAsia="es-UY"/>
              </w:rPr>
              <w:br/>
              <w:t xml:space="preserve">- Vigilancia en áreas portuarias y aeroportuarias. </w:t>
            </w:r>
            <w:r w:rsidRPr="002C4A1E">
              <w:rPr>
                <w:rFonts w:ascii="Arial" w:eastAsia="Times New Roman" w:hAnsi="Arial" w:cs="Arial"/>
                <w:color w:val="000000"/>
                <w:sz w:val="20"/>
                <w:szCs w:val="20"/>
                <w:lang w:eastAsia="es-UY"/>
              </w:rPr>
              <w:br/>
              <w:t xml:space="preserve">- Vigilancia durante 7 días de todo individuo que tenga o haya tenido contacto con paciente de Peste neumónica. </w:t>
            </w:r>
            <w:r w:rsidRPr="002C4A1E">
              <w:rPr>
                <w:rFonts w:ascii="Arial" w:eastAsia="Times New Roman" w:hAnsi="Arial" w:cs="Arial"/>
                <w:color w:val="000000"/>
                <w:sz w:val="20"/>
                <w:szCs w:val="20"/>
                <w:lang w:eastAsia="es-UY"/>
              </w:rPr>
              <w:br/>
              <w:t xml:space="preserve">- Monitoreo de roedores y pulgas contaminadas por Peste. </w:t>
            </w:r>
            <w:r w:rsidRPr="002C4A1E">
              <w:rPr>
                <w:rFonts w:ascii="Arial" w:eastAsia="Times New Roman" w:hAnsi="Arial" w:cs="Arial"/>
                <w:color w:val="000000"/>
                <w:sz w:val="20"/>
                <w:szCs w:val="20"/>
                <w:lang w:eastAsia="es-UY"/>
              </w:rPr>
              <w:br/>
              <w:t xml:space="preserve">Esquema terapéutico para profilaxis </w:t>
            </w:r>
            <w:r w:rsidRPr="002C4A1E">
              <w:rPr>
                <w:rFonts w:ascii="Arial" w:eastAsia="Times New Roman" w:hAnsi="Arial" w:cs="Arial"/>
                <w:color w:val="000000"/>
                <w:sz w:val="20"/>
                <w:szCs w:val="20"/>
                <w:lang w:eastAsia="es-UY"/>
              </w:rPr>
              <w:br/>
              <w:t xml:space="preserve">- Forma bubónica: no se recomienda terapéutica profiláctica. </w:t>
            </w:r>
            <w:r w:rsidRPr="002C4A1E">
              <w:rPr>
                <w:rFonts w:ascii="Arial" w:eastAsia="Times New Roman" w:hAnsi="Arial" w:cs="Arial"/>
                <w:color w:val="000000"/>
                <w:sz w:val="20"/>
                <w:szCs w:val="20"/>
                <w:lang w:eastAsia="es-UY"/>
              </w:rPr>
              <w:br/>
              <w:t xml:space="preserve">- Forma neumónica: la quimioprofilaxis está indicada en los contactos directos de los casos confirmados. </w:t>
            </w:r>
            <w:r w:rsidRPr="002C4A1E">
              <w:rPr>
                <w:rFonts w:ascii="Arial" w:eastAsia="Times New Roman" w:hAnsi="Arial" w:cs="Arial"/>
                <w:color w:val="000000"/>
                <w:sz w:val="20"/>
                <w:szCs w:val="20"/>
                <w:lang w:eastAsia="es-UY"/>
              </w:rPr>
              <w:br/>
              <w:t xml:space="preserve">- En expuestos a pulgas infectadas en zonas endémicas </w:t>
            </w:r>
            <w:r w:rsidRPr="002C4A1E">
              <w:rPr>
                <w:rFonts w:ascii="Arial" w:eastAsia="Times New Roman" w:hAnsi="Arial" w:cs="Arial"/>
                <w:color w:val="000000"/>
                <w:sz w:val="20"/>
                <w:szCs w:val="20"/>
                <w:lang w:eastAsia="es-UY"/>
              </w:rPr>
              <w:br/>
              <w:t xml:space="preserve">Drogas indicadas: </w:t>
            </w:r>
            <w:r w:rsidRPr="002C4A1E">
              <w:rPr>
                <w:rFonts w:ascii="Arial" w:eastAsia="Times New Roman" w:hAnsi="Arial" w:cs="Arial"/>
                <w:color w:val="000000"/>
                <w:sz w:val="20"/>
                <w:szCs w:val="20"/>
                <w:lang w:eastAsia="es-UY"/>
              </w:rPr>
              <w:br/>
              <w:t xml:space="preserve">Sulfadiazina: 2–3 gramos por día divididos en 4–6 tomas durante 6 días. </w:t>
            </w:r>
            <w:r w:rsidRPr="002C4A1E">
              <w:rPr>
                <w:rFonts w:ascii="Arial" w:eastAsia="Times New Roman" w:hAnsi="Arial" w:cs="Arial"/>
                <w:color w:val="000000"/>
                <w:sz w:val="20"/>
                <w:szCs w:val="20"/>
                <w:lang w:eastAsia="es-UY"/>
              </w:rPr>
              <w:br/>
              <w:t xml:space="preserve">- Sulfametoxasol + Trimetropim: 400 mg y 80 mg respectivamente cada 12 horas durante 6 días. </w:t>
            </w:r>
            <w:r w:rsidRPr="002C4A1E">
              <w:rPr>
                <w:rFonts w:ascii="Arial" w:eastAsia="Times New Roman" w:hAnsi="Arial" w:cs="Arial"/>
                <w:color w:val="000000"/>
                <w:sz w:val="20"/>
                <w:szCs w:val="20"/>
                <w:lang w:eastAsia="es-UY"/>
              </w:rPr>
              <w:br/>
              <w:t xml:space="preserve">- Tetraciclina: 1 gramo por día durante 6 días.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d. Sindrome respiratorio agudo severo (SARS)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 Toda persona que presenta cuadro de fiebre alta (&gt;38° C) y tos y/o dificultad respiratoria y/o tuvo contacto directo con caso sospechoso o probable de SARS, o estuvo en zona con transmisión autóctona reciente en los 10 días anteriores al inicio de los síntomas, o reside en área con transmisión autóctona. </w:t>
            </w:r>
            <w:r w:rsidRPr="002C4A1E">
              <w:rPr>
                <w:rFonts w:ascii="Arial" w:eastAsia="Times New Roman" w:hAnsi="Arial" w:cs="Arial"/>
                <w:color w:val="000000"/>
                <w:sz w:val="20"/>
                <w:szCs w:val="20"/>
                <w:lang w:eastAsia="es-UY"/>
              </w:rPr>
              <w:br/>
              <w:t xml:space="preserve">- Toda persona que fallece de enfermedad respiratoria aguda de etiología desconocida en la que no se realizó autopsia y tuvo contacto directo con caso sospechoso o probable de SARS, o estuvo en zona con transmisión autóctona reciente en los 10 días anteriores al inicio de los síntomas, o residía en área con transmisión autóctona.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probable: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Caso sospechoso con radiografía de tórax con infiltrado compatible con neumonía o distress respiratorio y que no demuestra otra etiología. </w:t>
            </w:r>
            <w:r w:rsidRPr="002C4A1E">
              <w:rPr>
                <w:rFonts w:ascii="Arial" w:eastAsia="Times New Roman" w:hAnsi="Arial" w:cs="Arial"/>
                <w:color w:val="000000"/>
                <w:sz w:val="20"/>
                <w:szCs w:val="20"/>
                <w:lang w:eastAsia="es-UY"/>
              </w:rPr>
              <w:br/>
              <w:t xml:space="preserve">- Caso sospechoso que evolucionó a la muerte, con autopsia compatible con síndrome de distress respiratorio y que no demuestra otra etiología.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SARS con resultados positivos para SARS-CoV en uno o más de los siguientes exámenes de laboratorio: </w:t>
            </w:r>
            <w:r w:rsidRPr="002C4A1E">
              <w:rPr>
                <w:rFonts w:ascii="Arial" w:eastAsia="Times New Roman" w:hAnsi="Arial" w:cs="Arial"/>
                <w:color w:val="000000"/>
                <w:sz w:val="20"/>
                <w:szCs w:val="20"/>
                <w:lang w:eastAsia="es-UY"/>
              </w:rPr>
              <w:br/>
              <w:t xml:space="preserve">- PCR, Serologia (ELISA o IFI), </w:t>
            </w:r>
            <w:r w:rsidRPr="002C4A1E">
              <w:rPr>
                <w:rFonts w:ascii="Arial" w:eastAsia="Times New Roman" w:hAnsi="Arial" w:cs="Arial"/>
                <w:color w:val="000000"/>
                <w:sz w:val="20"/>
                <w:szCs w:val="20"/>
                <w:lang w:eastAsia="es-UY"/>
              </w:rPr>
              <w:br/>
              <w:t xml:space="preserve">- aislamiento viral. </w:t>
            </w:r>
            <w:r w:rsidRPr="002C4A1E">
              <w:rPr>
                <w:rFonts w:ascii="Arial" w:eastAsia="Times New Roman" w:hAnsi="Arial" w:cs="Arial"/>
                <w:color w:val="000000"/>
                <w:sz w:val="20"/>
                <w:szCs w:val="20"/>
                <w:lang w:eastAsia="es-UY"/>
              </w:rPr>
              <w:br/>
              <w:t xml:space="preserve">Serán considerados resultados laboratoriales válidos cuando son realizados en laboratorios de referencia nacional o regional de acuerdo con las recomendaciones de la OMS.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Ver “Directivas del manejo del SARS (Sindrome Agudo Respiratorio </w:t>
            </w:r>
            <w:proofErr w:type="gramStart"/>
            <w:r w:rsidRPr="002C4A1E">
              <w:rPr>
                <w:rFonts w:ascii="Arial" w:eastAsia="Times New Roman" w:hAnsi="Arial" w:cs="Arial"/>
                <w:color w:val="000000"/>
                <w:sz w:val="20"/>
                <w:szCs w:val="20"/>
                <w:lang w:eastAsia="es-UY"/>
              </w:rPr>
              <w:t>Grave )</w:t>
            </w:r>
            <w:proofErr w:type="gramEnd"/>
            <w:r w:rsidRPr="002C4A1E">
              <w:rPr>
                <w:rFonts w:ascii="Arial" w:eastAsia="Times New Roman" w:hAnsi="Arial" w:cs="Arial"/>
                <w:color w:val="000000"/>
                <w:sz w:val="20"/>
                <w:szCs w:val="20"/>
                <w:lang w:eastAsia="es-UY"/>
              </w:rPr>
              <w:t xml:space="preserve"> MSP, OPS/OMS. Uruguay, Julio 2003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7. Hantavirosis</w:t>
            </w:r>
            <w:r w:rsidRPr="002C4A1E">
              <w:rPr>
                <w:rFonts w:ascii="Arial" w:eastAsia="Times New Roman" w:hAnsi="Arial" w:cs="Arial"/>
                <w:b/>
                <w:bCs/>
                <w:color w:val="000000"/>
                <w:sz w:val="20"/>
                <w:szCs w:val="20"/>
                <w:lang w:eastAsia="es-UY"/>
              </w:rPr>
              <w:br/>
              <w:t>Sindrome Pulmonar por Hantavirus (SPH)</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previamente sano, con prodromos de síndrome gripal (fiebre mayor de 38º C, mialgias, escalofríos, gran astenia, sed y cefalea). Laboratorio general con hematocrito elevado, plaquetopenia, leucocitosis con desviación a la izquierda, linfocitos atípicos y elevación de LDH y transaminasas, seguido de distress respiratorio de etiología no determinada con infiltrados pulmonares bilaterales, </w:t>
            </w:r>
            <w:r w:rsidRPr="002C4A1E">
              <w:rPr>
                <w:rFonts w:ascii="Arial" w:eastAsia="Times New Roman" w:hAnsi="Arial" w:cs="Arial"/>
                <w:color w:val="000000"/>
                <w:sz w:val="20"/>
                <w:szCs w:val="20"/>
                <w:lang w:eastAsia="es-UY"/>
              </w:rPr>
              <w:br/>
              <w:t xml:space="preserve">O enfermedad con evolución a la muerte con cuadro de edema pulmonar no cardiogénico. </w:t>
            </w:r>
            <w:r w:rsidRPr="002C4A1E">
              <w:rPr>
                <w:rFonts w:ascii="Arial" w:eastAsia="Times New Roman" w:hAnsi="Arial" w:cs="Arial"/>
                <w:color w:val="000000"/>
                <w:sz w:val="20"/>
                <w:szCs w:val="20"/>
                <w:lang w:eastAsia="es-UY"/>
              </w:rPr>
              <w:br/>
              <w:t xml:space="preserve">Esta definición es válida para áreas donde previamente no se han presentado casos. </w:t>
            </w:r>
            <w:r w:rsidRPr="002C4A1E">
              <w:rPr>
                <w:rFonts w:ascii="Arial" w:eastAsia="Times New Roman" w:hAnsi="Arial" w:cs="Arial"/>
                <w:color w:val="000000"/>
                <w:sz w:val="20"/>
                <w:szCs w:val="20"/>
                <w:lang w:eastAsia="es-UY"/>
              </w:rPr>
              <w:br/>
              <w:t xml:space="preserve">En zonas endémicas, el diagnóstico debe sospecharse en el período prodrómico.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laboratorio por alguno de los siguientes criterios: </w:t>
            </w:r>
            <w:r w:rsidRPr="002C4A1E">
              <w:rPr>
                <w:rFonts w:ascii="Arial" w:eastAsia="Times New Roman" w:hAnsi="Arial" w:cs="Arial"/>
                <w:color w:val="000000"/>
                <w:sz w:val="20"/>
                <w:szCs w:val="20"/>
                <w:lang w:eastAsia="es-UY"/>
              </w:rPr>
              <w:br/>
              <w:t xml:space="preserve">- serología por ELISA (IgM o seroconversión IgG); </w:t>
            </w:r>
            <w:r w:rsidRPr="002C4A1E">
              <w:rPr>
                <w:rFonts w:ascii="Arial" w:eastAsia="Times New Roman" w:hAnsi="Arial" w:cs="Arial"/>
                <w:color w:val="000000"/>
                <w:sz w:val="20"/>
                <w:szCs w:val="20"/>
                <w:lang w:eastAsia="es-UY"/>
              </w:rPr>
              <w:br/>
              <w:t xml:space="preserve">- RT – PCR en tejidos de células infectadas; </w:t>
            </w:r>
            <w:r w:rsidRPr="002C4A1E">
              <w:rPr>
                <w:rFonts w:ascii="Arial" w:eastAsia="Times New Roman" w:hAnsi="Arial" w:cs="Arial"/>
                <w:color w:val="000000"/>
                <w:sz w:val="20"/>
                <w:szCs w:val="20"/>
                <w:lang w:eastAsia="es-UY"/>
              </w:rPr>
              <w:br/>
              <w:t xml:space="preserve">- Inmunohistoquímica en tejidos de células infectadas.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r w:rsidRPr="002C4A1E">
              <w:rPr>
                <w:rFonts w:ascii="Arial" w:eastAsia="Times New Roman" w:hAnsi="Arial" w:cs="Arial"/>
                <w:color w:val="000000"/>
                <w:sz w:val="20"/>
                <w:szCs w:val="20"/>
                <w:lang w:eastAsia="es-UY"/>
              </w:rPr>
              <w:br/>
              <w:t xml:space="preserve">- Educar al público para evitar la exposición a roedores y su presencia en los hogares. </w:t>
            </w:r>
            <w:r w:rsidRPr="002C4A1E">
              <w:rPr>
                <w:rFonts w:ascii="Arial" w:eastAsia="Times New Roman" w:hAnsi="Arial" w:cs="Arial"/>
                <w:color w:val="000000"/>
                <w:sz w:val="20"/>
                <w:szCs w:val="20"/>
                <w:lang w:eastAsia="es-UY"/>
              </w:rPr>
              <w:br/>
              <w:t xml:space="preserve">- Alertar al personal sanitario sobre letalidad, algoritmo de sospecha y tratamiento de sostén.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Se recomienda realizar periodicamente estudios de reservorios, determinando las especies y las tasas de infección con personal especializado, utilizando equipamiento de seguridad adecuado. </w:t>
            </w:r>
            <w:r w:rsidRPr="002C4A1E">
              <w:rPr>
                <w:rFonts w:ascii="Arial" w:eastAsia="Times New Roman" w:hAnsi="Arial" w:cs="Arial"/>
                <w:color w:val="000000"/>
                <w:sz w:val="20"/>
                <w:szCs w:val="20"/>
                <w:lang w:eastAsia="es-UY"/>
              </w:rPr>
              <w:br/>
              <w:t xml:space="preserve">- Control de roedores en el domicilio y peridomicilio (no es practicable en el medio silvestre).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8. Intoxicaciones agudas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Persona o personas con antecedente conocido de exposición en un lapso no mayor a 24 horas y/o que presenten un cuadro clínico compatible con la exposición voluntaria o involuntaria a una o más sustancias químicas naturales (de origen animal o vegetal</w:t>
            </w:r>
            <w:proofErr w:type="gramStart"/>
            <w:r w:rsidRPr="002C4A1E">
              <w:rPr>
                <w:rFonts w:ascii="Arial" w:eastAsia="Times New Roman" w:hAnsi="Arial" w:cs="Arial"/>
                <w:color w:val="000000"/>
                <w:sz w:val="20"/>
                <w:szCs w:val="20"/>
                <w:lang w:eastAsia="es-UY"/>
              </w:rPr>
              <w:t>, )</w:t>
            </w:r>
            <w:proofErr w:type="gramEnd"/>
            <w:r w:rsidRPr="002C4A1E">
              <w:rPr>
                <w:rFonts w:ascii="Arial" w:eastAsia="Times New Roman" w:hAnsi="Arial" w:cs="Arial"/>
                <w:color w:val="000000"/>
                <w:sz w:val="20"/>
                <w:szCs w:val="20"/>
                <w:lang w:eastAsia="es-UY"/>
              </w:rPr>
              <w:t xml:space="preserve"> o sintéticas (medicamentos, plaguicidas, sustancias de uso doméstico, industrial u otras) en forma única o múltiple.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en el cual se confirma la presencia en muestras biológicas de la o las sustancias químicas involucradas y/o la presencia de un indicador biológico de exposición.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9. Meningitis</w:t>
            </w:r>
            <w:r w:rsidRPr="002C4A1E">
              <w:rPr>
                <w:rFonts w:ascii="Arial" w:eastAsia="Times New Roman" w:hAnsi="Arial" w:cs="Arial"/>
                <w:b/>
                <w:bCs/>
                <w:color w:val="000000"/>
                <w:sz w:val="20"/>
                <w:szCs w:val="20"/>
                <w:lang w:eastAsia="es-UY"/>
              </w:rPr>
              <w:br/>
              <w:t>Meningoencefalitis aguda supurada (MEAS), Meningitis bacterianas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con aparición súbita de fiebre (&gt; 38º C) con sin erupción cutánea petequial o purpúrica y al menos uno de los siguientes síntomas o signos: </w:t>
            </w:r>
            <w:r w:rsidRPr="002C4A1E">
              <w:rPr>
                <w:rFonts w:ascii="Arial" w:eastAsia="Times New Roman" w:hAnsi="Arial" w:cs="Arial"/>
                <w:color w:val="000000"/>
                <w:sz w:val="20"/>
                <w:szCs w:val="20"/>
                <w:lang w:eastAsia="es-UY"/>
              </w:rPr>
              <w:br/>
              <w:t xml:space="preserve">- Rigidez de nuca </w:t>
            </w:r>
            <w:r w:rsidRPr="002C4A1E">
              <w:rPr>
                <w:rFonts w:ascii="Arial" w:eastAsia="Times New Roman" w:hAnsi="Arial" w:cs="Arial"/>
                <w:color w:val="000000"/>
                <w:sz w:val="20"/>
                <w:szCs w:val="20"/>
                <w:lang w:eastAsia="es-UY"/>
              </w:rPr>
              <w:br/>
              <w:t xml:space="preserve">- Alteración de la conciencia </w:t>
            </w:r>
            <w:r w:rsidRPr="002C4A1E">
              <w:rPr>
                <w:rFonts w:ascii="Arial" w:eastAsia="Times New Roman" w:hAnsi="Arial" w:cs="Arial"/>
                <w:color w:val="000000"/>
                <w:sz w:val="20"/>
                <w:szCs w:val="20"/>
                <w:lang w:eastAsia="es-UY"/>
              </w:rPr>
              <w:br/>
              <w:t xml:space="preserve">- Otros signos de irritación meníngea </w:t>
            </w:r>
            <w:r w:rsidRPr="002C4A1E">
              <w:rPr>
                <w:rFonts w:ascii="Arial" w:eastAsia="Times New Roman" w:hAnsi="Arial" w:cs="Arial"/>
                <w:color w:val="000000"/>
                <w:sz w:val="20"/>
                <w:szCs w:val="20"/>
                <w:lang w:eastAsia="es-UY"/>
              </w:rPr>
              <w:br/>
              <w:t xml:space="preserve">En los menores de 1 año de edad se sospecha meningitis cuando la fiebre está acompañada de abombamiento de fontanela, vómitos, somnolencia, irritabilidad, convulsiones, con o sin erupción petequial. </w:t>
            </w:r>
            <w:r w:rsidRPr="002C4A1E">
              <w:rPr>
                <w:rFonts w:ascii="Arial" w:eastAsia="Times New Roman" w:hAnsi="Arial" w:cs="Arial"/>
                <w:color w:val="000000"/>
                <w:sz w:val="20"/>
                <w:szCs w:val="20"/>
                <w:lang w:eastAsia="es-UY"/>
              </w:rPr>
              <w:br/>
              <w:t xml:space="preserve">Detección de Coco-bacilos Gram negativos en frotis teñido por técnica de Gram del material obtenido (LCR y otros fluidos)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una de estas dos técnicas: </w:t>
            </w:r>
            <w:r w:rsidRPr="002C4A1E">
              <w:rPr>
                <w:rFonts w:ascii="Arial" w:eastAsia="Times New Roman" w:hAnsi="Arial" w:cs="Arial"/>
                <w:color w:val="000000"/>
                <w:sz w:val="20"/>
                <w:szCs w:val="20"/>
                <w:lang w:eastAsia="es-UY"/>
              </w:rPr>
              <w:br/>
              <w:t xml:space="preserve">- Aislamiento del agente etiológico (Streptococcus Pneumoniae, Haemophilus Influenzae tipo b, Neisseria Meningitidis, otros agentes bacterianos menos frecuentes) por medio de cultivo de Líquido Céfalo Raquídeo (LCR), sangre u otro fluido. </w:t>
            </w:r>
            <w:r w:rsidRPr="002C4A1E">
              <w:rPr>
                <w:rFonts w:ascii="Arial" w:eastAsia="Times New Roman" w:hAnsi="Arial" w:cs="Arial"/>
                <w:color w:val="000000"/>
                <w:sz w:val="20"/>
                <w:szCs w:val="20"/>
                <w:lang w:eastAsia="es-UY"/>
              </w:rPr>
              <w:br/>
              <w:t xml:space="preserve">- Identificación de polisacáridos capsulares específicos por técnica de contrainmunoelectroforesis (CIE).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Evitar el hacinamiento en las viviendas y los sitios laborales, fomentando la ventilación de los ambientes en lugares con alta concentración de personas. </w:t>
            </w:r>
            <w:r w:rsidRPr="002C4A1E">
              <w:rPr>
                <w:rFonts w:ascii="Arial" w:eastAsia="Times New Roman" w:hAnsi="Arial" w:cs="Arial"/>
                <w:color w:val="000000"/>
                <w:sz w:val="20"/>
                <w:szCs w:val="20"/>
                <w:lang w:eastAsia="es-UY"/>
              </w:rPr>
              <w:br/>
              <w:t xml:space="preserve">Diagnóstico precoz y tratamiento oportuno y adecuado de otitis, mastoiditis o lesiones </w:t>
            </w:r>
            <w:r w:rsidRPr="002C4A1E">
              <w:rPr>
                <w:rFonts w:ascii="Arial" w:eastAsia="Times New Roman" w:hAnsi="Arial" w:cs="Arial"/>
                <w:color w:val="000000"/>
                <w:sz w:val="20"/>
                <w:szCs w:val="20"/>
                <w:lang w:eastAsia="es-UY"/>
              </w:rPr>
              <w:lastRenderedPageBreak/>
              <w:t xml:space="preserve">traumáticas de base de cráneo.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Quimioprofilaxis: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Se aplicará a los contactos de acuerdo a las pautas establecidas por la Unidad de Vigilancia Epidemiológica del Departamento de Epidemiología del MSP en casos sospechosos o confirmados de MEAS por Haemophilus Influenzae tipo b, Neisseria Meningitidis (Meningococo), Streptococcus Pneumoniae (Neumococo) y en todos aquellos casos en que se determine su indicación.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Inmunización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Ver vacunación en “Enfermedad Meningocóccica” La inmunización contra Hemophilus Influenzae tipo b integra el esquema básico del Programa Ampliado de Inmunizaciones del MSP (vacuna pentavalente).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10. Ofidismo, araneísmo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Accidente por mordedura de ofidio ponzoñoso (ofidismo). Especies autóctonas: </w:t>
            </w:r>
            <w:r w:rsidRPr="002C4A1E">
              <w:rPr>
                <w:rFonts w:ascii="Arial" w:eastAsia="Times New Roman" w:hAnsi="Arial" w:cs="Arial"/>
                <w:color w:val="000000"/>
                <w:sz w:val="20"/>
                <w:szCs w:val="20"/>
                <w:lang w:eastAsia="es-UY"/>
              </w:rPr>
              <w:br/>
              <w:t xml:space="preserve">- Bothrops alternatus (“Crucera” o “Víbora de la Cruz”) </w:t>
            </w:r>
            <w:r w:rsidRPr="002C4A1E">
              <w:rPr>
                <w:rFonts w:ascii="Arial" w:eastAsia="Times New Roman" w:hAnsi="Arial" w:cs="Arial"/>
                <w:color w:val="000000"/>
                <w:sz w:val="20"/>
                <w:szCs w:val="20"/>
                <w:lang w:eastAsia="es-UY"/>
              </w:rPr>
              <w:br/>
              <w:t xml:space="preserve">- Bothrops neuwiedi pubescens (“Yara” o “Yarará”) </w:t>
            </w:r>
            <w:r w:rsidRPr="002C4A1E">
              <w:rPr>
                <w:rFonts w:ascii="Arial" w:eastAsia="Times New Roman" w:hAnsi="Arial" w:cs="Arial"/>
                <w:color w:val="000000"/>
                <w:sz w:val="20"/>
                <w:szCs w:val="20"/>
                <w:lang w:eastAsia="es-UY"/>
              </w:rPr>
              <w:br/>
              <w:t xml:space="preserve">- Crotalus durissus terrificus (“Víbora de Cascabel”) </w:t>
            </w:r>
            <w:r w:rsidRPr="002C4A1E">
              <w:rPr>
                <w:rFonts w:ascii="Arial" w:eastAsia="Times New Roman" w:hAnsi="Arial" w:cs="Arial"/>
                <w:color w:val="000000"/>
                <w:sz w:val="20"/>
                <w:szCs w:val="20"/>
                <w:lang w:eastAsia="es-UY"/>
              </w:rPr>
              <w:br/>
              <w:t xml:space="preserve">- Micrurus frontalis altirostris (“Víbora de Coral”) </w:t>
            </w:r>
            <w:r w:rsidRPr="002C4A1E">
              <w:rPr>
                <w:rFonts w:ascii="Arial" w:eastAsia="Times New Roman" w:hAnsi="Arial" w:cs="Arial"/>
                <w:color w:val="000000"/>
                <w:sz w:val="20"/>
                <w:szCs w:val="20"/>
                <w:lang w:eastAsia="es-UY"/>
              </w:rPr>
              <w:br/>
              <w:t xml:space="preserve">Picadura de arácnido ponzoñoso (araneísmo). Especies autóctonas: </w:t>
            </w:r>
            <w:r w:rsidRPr="002C4A1E">
              <w:rPr>
                <w:rFonts w:ascii="Arial" w:eastAsia="Times New Roman" w:hAnsi="Arial" w:cs="Arial"/>
                <w:color w:val="000000"/>
                <w:sz w:val="20"/>
                <w:szCs w:val="20"/>
                <w:lang w:eastAsia="es-UY"/>
              </w:rPr>
              <w:br/>
              <w:t xml:space="preserve">- Latrodectus gr. mactans ("araña del lino o viuda negra") </w:t>
            </w:r>
            <w:r w:rsidRPr="002C4A1E">
              <w:rPr>
                <w:rFonts w:ascii="Arial" w:eastAsia="Times New Roman" w:hAnsi="Arial" w:cs="Arial"/>
                <w:color w:val="000000"/>
                <w:sz w:val="20"/>
                <w:szCs w:val="20"/>
                <w:lang w:eastAsia="es-UY"/>
              </w:rPr>
              <w:br/>
              <w:t xml:space="preserve">- Loxosceles laeta ("araña homicida o de los cuadros") </w:t>
            </w:r>
            <w:r w:rsidRPr="002C4A1E">
              <w:rPr>
                <w:rFonts w:ascii="Arial" w:eastAsia="Times New Roman" w:hAnsi="Arial" w:cs="Arial"/>
                <w:color w:val="000000"/>
                <w:sz w:val="20"/>
                <w:szCs w:val="20"/>
                <w:lang w:eastAsia="es-UY"/>
              </w:rPr>
              <w:br/>
              <w:t xml:space="preserve">- Phoneutria nigriventer ("araña del banano") </w:t>
            </w:r>
            <w:r w:rsidRPr="002C4A1E">
              <w:rPr>
                <w:rFonts w:ascii="Arial" w:eastAsia="Times New Roman" w:hAnsi="Arial" w:cs="Arial"/>
                <w:color w:val="000000"/>
                <w:sz w:val="20"/>
                <w:szCs w:val="20"/>
                <w:lang w:eastAsia="es-UY"/>
              </w:rPr>
              <w:br/>
              <w:t xml:space="preserve">- Lycosa spp. ("tarántula o araña de jardín") </w:t>
            </w:r>
            <w:r w:rsidRPr="002C4A1E">
              <w:rPr>
                <w:rFonts w:ascii="Arial" w:eastAsia="Times New Roman" w:hAnsi="Arial" w:cs="Arial"/>
                <w:color w:val="000000"/>
                <w:sz w:val="20"/>
                <w:szCs w:val="20"/>
                <w:lang w:eastAsia="es-UY"/>
              </w:rPr>
              <w:br/>
              <w:t xml:space="preserve">La existencia de ejemplares de zoológico o la posibilidad de introducción accidental de otras especies no autóctonas determina la posibilidad de accidentes que también deben ser notificados.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Educación a la población (trabajadores, acampantes, etc.) para evitar los riesgos de la exposición a los accidentes por animales ponzoñosos y el control de su presencia en los hogares. </w:t>
            </w:r>
            <w:r w:rsidRPr="002C4A1E">
              <w:rPr>
                <w:rFonts w:ascii="Arial" w:eastAsia="Times New Roman" w:hAnsi="Arial" w:cs="Arial"/>
                <w:color w:val="000000"/>
                <w:sz w:val="20"/>
                <w:szCs w:val="20"/>
                <w:lang w:eastAsia="es-UY"/>
              </w:rPr>
              <w:br/>
              <w:t xml:space="preserve">Tratamiento oportuno con sueros específicos bajo supervisión del Centro de Información y Asesoramiento Toxicológico (CIAT) de la Facultad de Medicina.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11. Parálisis fláccida aguda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Cualquier individuo menor de 15 años con Parálisis Aguda Fláccida (PAF), sin antecedentes de trauma reciente.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por laboratorio: por aislamiento del poliovirus salvaje de las </w:t>
            </w:r>
            <w:r w:rsidRPr="002C4A1E">
              <w:rPr>
                <w:rFonts w:ascii="Arial" w:eastAsia="Times New Roman" w:hAnsi="Arial" w:cs="Arial"/>
                <w:color w:val="000000"/>
                <w:sz w:val="20"/>
                <w:szCs w:val="20"/>
                <w:lang w:eastAsia="es-UY"/>
              </w:rPr>
              <w:lastRenderedPageBreak/>
              <w:t xml:space="preserve">heces del caso o de sus contactos.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compatible: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Cuando no se obtuvo una muestra adecuada de heces en pacientes con parálisis residual compatible con Poliomielitis en las siguientes situaciones: </w:t>
            </w:r>
            <w:r w:rsidRPr="002C4A1E">
              <w:rPr>
                <w:rFonts w:ascii="Arial" w:eastAsia="Times New Roman" w:hAnsi="Arial" w:cs="Arial"/>
                <w:color w:val="000000"/>
                <w:sz w:val="20"/>
                <w:szCs w:val="20"/>
                <w:lang w:eastAsia="es-UY"/>
              </w:rPr>
              <w:br/>
              <w:t xml:space="preserve">- Al cabo de 60 días de inicio de la PAF; o </w:t>
            </w:r>
            <w:r w:rsidRPr="002C4A1E">
              <w:rPr>
                <w:rFonts w:ascii="Arial" w:eastAsia="Times New Roman" w:hAnsi="Arial" w:cs="Arial"/>
                <w:color w:val="000000"/>
                <w:sz w:val="20"/>
                <w:szCs w:val="20"/>
                <w:lang w:eastAsia="es-UY"/>
              </w:rPr>
              <w:br/>
              <w:t xml:space="preserve">- Sobreviene la muerte dentro a los 60 días de inicio de la PAF; o </w:t>
            </w:r>
            <w:r w:rsidRPr="002C4A1E">
              <w:rPr>
                <w:rFonts w:ascii="Arial" w:eastAsia="Times New Roman" w:hAnsi="Arial" w:cs="Arial"/>
                <w:color w:val="000000"/>
                <w:sz w:val="20"/>
                <w:szCs w:val="20"/>
                <w:lang w:eastAsia="es-UY"/>
              </w:rPr>
              <w:br/>
              <w:t xml:space="preserve">- No se hizo seguimiento del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Poliomielitis vacunal: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de Parálisis Aguda Fláccida que recibió la vacuna oral contra la Poliomielitis, hasta 30 días antes del inicio de los síntomas, o que tuvo contacto con vacunado en este período. </w:t>
            </w:r>
            <w:r w:rsidRPr="002C4A1E">
              <w:rPr>
                <w:rFonts w:ascii="Arial" w:eastAsia="Times New Roman" w:hAnsi="Arial" w:cs="Arial"/>
                <w:color w:val="000000"/>
                <w:sz w:val="20"/>
                <w:szCs w:val="20"/>
                <w:lang w:eastAsia="es-UY"/>
              </w:rPr>
              <w:br/>
              <w:t xml:space="preserve">Individuo que presenta secuela compatible con Poliomielitis hasta 60 días después de la vacunación con la vacuna oral contra la Poliomielitis o contacto con vacunado.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de Poliomielitis vacunal: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Poliomielitis vacunal con aislamiento de poliovirus vacunal e identificación del mismo por técnicas de biología molecular, no existiendo otra causa posible de la enfermedad.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 xml:space="preserve">Medidas de prevención y control: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Según pautas internacionales (OPS/OMS) para la eliminación o erradicación </w:t>
            </w:r>
            <w:r w:rsidRPr="002C4A1E">
              <w:rPr>
                <w:rFonts w:ascii="Arial" w:eastAsia="Times New Roman" w:hAnsi="Arial" w:cs="Arial"/>
                <w:color w:val="000000"/>
                <w:sz w:val="20"/>
                <w:szCs w:val="20"/>
                <w:lang w:eastAsia="es-UY"/>
              </w:rPr>
              <w:br/>
              <w:t xml:space="preserve">La inmunización de bloqueo ante la aparición de un caso confirmado será determinada por la Unidad de Inmunizaciones del Dpto de Epidemiología.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12. Personas mordidas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humano que sufre una o más lesiones, de cualquier tipo, entidad o gravedad, ocasionadas por mordedura de cualquier mamífero, doméstico o salvaje.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Si el animal agresor es un perro o gato se procederá a su observación veterinaria durante un plazo de 10 días a partir de la fecha de la lesión, así el animal parezca sano en ese momento, existiera una razón aparente para la agresión o tenga vacuna antirrábica a día. Luego de dicho plazo de observación, si el animal no presentó particularidades que determinen sospecha de Rabia o signos de la enfermedad, no se recomienda tratamiento alguno. </w:t>
            </w:r>
            <w:r w:rsidRPr="002C4A1E">
              <w:rPr>
                <w:rFonts w:ascii="Arial" w:eastAsia="Times New Roman" w:hAnsi="Arial" w:cs="Arial"/>
                <w:color w:val="000000"/>
                <w:sz w:val="20"/>
                <w:szCs w:val="20"/>
                <w:lang w:eastAsia="es-UY"/>
              </w:rPr>
              <w:br/>
              <w:t xml:space="preserve">Se indicará tratamiento antirrábico: </w:t>
            </w:r>
            <w:r w:rsidRPr="002C4A1E">
              <w:rPr>
                <w:rFonts w:ascii="Arial" w:eastAsia="Times New Roman" w:hAnsi="Arial" w:cs="Arial"/>
                <w:color w:val="000000"/>
                <w:sz w:val="20"/>
                <w:szCs w:val="20"/>
                <w:lang w:eastAsia="es-UY"/>
              </w:rPr>
              <w:br/>
              <w:t xml:space="preserve">- Si el animal desaparece dentro del lapso de los 10 días de observación </w:t>
            </w:r>
            <w:r w:rsidRPr="002C4A1E">
              <w:rPr>
                <w:rFonts w:ascii="Arial" w:eastAsia="Times New Roman" w:hAnsi="Arial" w:cs="Arial"/>
                <w:color w:val="000000"/>
                <w:sz w:val="20"/>
                <w:szCs w:val="20"/>
                <w:lang w:eastAsia="es-UY"/>
              </w:rPr>
              <w:br/>
              <w:t xml:space="preserve">- Si el animal muere o presenta signos de Rabia </w:t>
            </w:r>
            <w:r w:rsidRPr="002C4A1E">
              <w:rPr>
                <w:rFonts w:ascii="Arial" w:eastAsia="Times New Roman" w:hAnsi="Arial" w:cs="Arial"/>
                <w:color w:val="000000"/>
                <w:sz w:val="20"/>
                <w:szCs w:val="20"/>
                <w:lang w:eastAsia="es-UY"/>
              </w:rPr>
              <w:br/>
              <w:t xml:space="preserve">- Si se trata de un animal silvestre (vampiro, murciélago, zorrillo, zorro, etc.) </w:t>
            </w:r>
            <w:r w:rsidRPr="002C4A1E">
              <w:rPr>
                <w:rFonts w:ascii="Arial" w:eastAsia="Times New Roman" w:hAnsi="Arial" w:cs="Arial"/>
                <w:color w:val="000000"/>
                <w:sz w:val="20"/>
                <w:szCs w:val="20"/>
                <w:lang w:eastAsia="es-UY"/>
              </w:rPr>
              <w:br/>
              <w:t xml:space="preserve">- Si el material remitido al laboratorio resulta positivo para Rabia.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13. Rabia animal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Debe considerarse como sospechoso de Rabia todo animal (cánidos y felinos salvajes o domésticos, otros mamíferos mordedores como vampiros, murciélagos, ratas, ratones y otros roedores, aunque éstos últimos rara vez requieren profilaxis antirrábica) que tras una fase de cambio de conducta (excitación, intranquilidad, hiperexitabilidad, anorexia) se vuelve agresivo contra objetos, otros animales o incluso contra si mismo, presenta sialorrea, convulsiones generalizadas, ataxia, parálisis descendente con evolución a la muerte en 2 a 10 días.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o no confirmado por laboratorio mediante prueba de inmunofluorescencia directa y prueba de Webster (inoculación intracerebral de ratones con observación por 21 días)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Control de foco mediante vacunación antirrábica de todo perro y gato en torno del caso. </w:t>
            </w:r>
            <w:r w:rsidRPr="002C4A1E">
              <w:rPr>
                <w:rFonts w:ascii="Arial" w:eastAsia="Times New Roman" w:hAnsi="Arial" w:cs="Arial"/>
                <w:color w:val="000000"/>
                <w:sz w:val="20"/>
                <w:szCs w:val="20"/>
                <w:lang w:eastAsia="es-UY"/>
              </w:rPr>
              <w:br/>
              <w:t xml:space="preserve">Si hubiera otros animales mordidos se deberán sacrificar en forma inmediata. </w:t>
            </w:r>
            <w:r w:rsidRPr="002C4A1E">
              <w:rPr>
                <w:rFonts w:ascii="Arial" w:eastAsia="Times New Roman" w:hAnsi="Arial" w:cs="Arial"/>
                <w:color w:val="000000"/>
                <w:sz w:val="20"/>
                <w:szCs w:val="20"/>
                <w:lang w:eastAsia="es-UY"/>
              </w:rPr>
              <w:br/>
              <w:t xml:space="preserve">Los mordidos humanos deber recibir el tratamiento indicado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14. Rabia humana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Toda persona que presenta como cuadro clínico, sindrome neurológico agudo (encefalitis) dominado por formas de hiperactividad (Rabia furiosa), o síndrome paralítico (Rabia muda), generalmente seguido de insuficiencia respiratoria, que progresa hacia el coma y la muerte, con antecedentes o no de exposición al virus rábico.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Laboratorial </w:t>
            </w:r>
            <w:r w:rsidRPr="002C4A1E">
              <w:rPr>
                <w:rFonts w:ascii="Arial" w:eastAsia="Times New Roman" w:hAnsi="Arial" w:cs="Arial"/>
                <w:color w:val="000000"/>
                <w:sz w:val="20"/>
                <w:szCs w:val="20"/>
                <w:lang w:eastAsia="es-UY"/>
              </w:rPr>
              <w:br/>
              <w:t xml:space="preserve">- Caso sospechoso, en que se demuestre infección por virus rábico a través del estudio por laboratorio, o </w:t>
            </w:r>
            <w:r w:rsidRPr="002C4A1E">
              <w:rPr>
                <w:rFonts w:ascii="Arial" w:eastAsia="Times New Roman" w:hAnsi="Arial" w:cs="Arial"/>
                <w:color w:val="000000"/>
                <w:sz w:val="20"/>
                <w:szCs w:val="20"/>
                <w:lang w:eastAsia="es-UY"/>
              </w:rPr>
              <w:br/>
              <w:t xml:space="preserve">- Caso sospechoso con antecedentes de exposición a animal rabioso confirmado por laboratorio, con alguna de las siguientes técnicas: </w:t>
            </w:r>
            <w:r w:rsidRPr="002C4A1E">
              <w:rPr>
                <w:rFonts w:ascii="Arial" w:eastAsia="Times New Roman" w:hAnsi="Arial" w:cs="Arial"/>
                <w:color w:val="000000"/>
                <w:sz w:val="20"/>
                <w:szCs w:val="20"/>
                <w:lang w:eastAsia="es-UY"/>
              </w:rPr>
              <w:br/>
              <w:t xml:space="preserve">Diagnóstico ante-mortem: </w:t>
            </w:r>
            <w:r w:rsidRPr="002C4A1E">
              <w:rPr>
                <w:rFonts w:ascii="Arial" w:eastAsia="Times New Roman" w:hAnsi="Arial" w:cs="Arial"/>
                <w:color w:val="000000"/>
                <w:sz w:val="20"/>
                <w:szCs w:val="20"/>
                <w:lang w:eastAsia="es-UY"/>
              </w:rPr>
              <w:br/>
              <w:t xml:space="preserve">- Detección de antígeno rábico por inmunofluorescencia en impresión corneal o bulbos pilosos de la nuca. </w:t>
            </w:r>
            <w:r w:rsidRPr="002C4A1E">
              <w:rPr>
                <w:rFonts w:ascii="Arial" w:eastAsia="Times New Roman" w:hAnsi="Arial" w:cs="Arial"/>
                <w:color w:val="000000"/>
                <w:sz w:val="20"/>
                <w:szCs w:val="20"/>
                <w:lang w:eastAsia="es-UY"/>
              </w:rPr>
              <w:br/>
              <w:t xml:space="preserve">- Detección de antígeno rábico por inmunofluorescencia después de la inoculación de saliva en ratones lactantes o en cultivo celular. </w:t>
            </w:r>
            <w:r w:rsidRPr="002C4A1E">
              <w:rPr>
                <w:rFonts w:ascii="Arial" w:eastAsia="Times New Roman" w:hAnsi="Arial" w:cs="Arial"/>
                <w:color w:val="000000"/>
                <w:sz w:val="20"/>
                <w:szCs w:val="20"/>
                <w:lang w:eastAsia="es-UY"/>
              </w:rPr>
              <w:br/>
              <w:t xml:space="preserve">- Detección de anticuerpos neutralizantes específicos para Rabia en suero y/o en LCR de una persona sin antecedentes de vacunación. </w:t>
            </w:r>
            <w:r w:rsidRPr="002C4A1E">
              <w:rPr>
                <w:rFonts w:ascii="Arial" w:eastAsia="Times New Roman" w:hAnsi="Arial" w:cs="Arial"/>
                <w:color w:val="000000"/>
                <w:sz w:val="20"/>
                <w:szCs w:val="20"/>
                <w:lang w:eastAsia="es-UY"/>
              </w:rPr>
              <w:br/>
              <w:t xml:space="preserve">- Detección de ácido nucleico del virus rábico por PCR en muestras de saliva o inmunofluorescencia en bulbos pilosos de la nuca. </w:t>
            </w:r>
            <w:r w:rsidRPr="002C4A1E">
              <w:rPr>
                <w:rFonts w:ascii="Arial" w:eastAsia="Times New Roman" w:hAnsi="Arial" w:cs="Arial"/>
                <w:color w:val="000000"/>
                <w:sz w:val="20"/>
                <w:szCs w:val="20"/>
                <w:lang w:eastAsia="es-UY"/>
              </w:rPr>
              <w:br/>
              <w:t xml:space="preserve">Diagnóstico post-mortem: </w:t>
            </w:r>
            <w:r w:rsidRPr="002C4A1E">
              <w:rPr>
                <w:rFonts w:ascii="Arial" w:eastAsia="Times New Roman" w:hAnsi="Arial" w:cs="Arial"/>
                <w:color w:val="000000"/>
                <w:sz w:val="20"/>
                <w:szCs w:val="20"/>
                <w:lang w:eastAsia="es-UY"/>
              </w:rPr>
              <w:br/>
              <w:t xml:space="preserve">- Detección de antígeno rábico por inmunofluorescencia en muestras de tejido cerebral. </w:t>
            </w:r>
            <w:r w:rsidRPr="002C4A1E">
              <w:rPr>
                <w:rFonts w:ascii="Arial" w:eastAsia="Times New Roman" w:hAnsi="Arial" w:cs="Arial"/>
                <w:color w:val="000000"/>
                <w:sz w:val="20"/>
                <w:szCs w:val="20"/>
                <w:lang w:eastAsia="es-UY"/>
              </w:rPr>
              <w:br/>
              <w:t xml:space="preserve">- Detección de antígeno rábico por inmunofluorescencia después de la inoculación de muestras de tejido cerebral en ratones lactantes o en cultivo celular. </w:t>
            </w:r>
            <w:r w:rsidRPr="002C4A1E">
              <w:rPr>
                <w:rFonts w:ascii="Arial" w:eastAsia="Times New Roman" w:hAnsi="Arial" w:cs="Arial"/>
                <w:color w:val="000000"/>
                <w:sz w:val="20"/>
                <w:szCs w:val="20"/>
                <w:lang w:eastAsia="es-UY"/>
              </w:rPr>
              <w:br/>
              <w:t xml:space="preserve">Clínico-epidemiológico </w:t>
            </w:r>
            <w:r w:rsidRPr="002C4A1E">
              <w:rPr>
                <w:rFonts w:ascii="Arial" w:eastAsia="Times New Roman" w:hAnsi="Arial" w:cs="Arial"/>
                <w:color w:val="000000"/>
                <w:sz w:val="20"/>
                <w:szCs w:val="20"/>
                <w:lang w:eastAsia="es-UY"/>
              </w:rPr>
              <w:br/>
              <w:t xml:space="preserve">Todo caso sospechoso, sin posibilidad de confirmación laboratorial, con antecedente de exposición a una probable fuente de infección, en una zona con comprobada circulación viral.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lastRenderedPageBreak/>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 profilaxis de Rabia humana se hace con vacuna cuando los individuos son expuestos o están en riesgo de exposición al virus rábico a través de mordedura, lamida de mucosa, arañazo y excepcionalmente por exposición respiratoria a ambientes con aerosoles de virus rábico. </w:t>
            </w:r>
            <w:r w:rsidRPr="002C4A1E">
              <w:rPr>
                <w:rFonts w:ascii="Arial" w:eastAsia="Times New Roman" w:hAnsi="Arial" w:cs="Arial"/>
                <w:color w:val="000000"/>
                <w:sz w:val="20"/>
                <w:szCs w:val="20"/>
                <w:lang w:eastAsia="es-UY"/>
              </w:rPr>
              <w:br/>
              <w:t xml:space="preserve">Pre-exposición: indicada a personas que por sus actividades se exponen permanentemente al riesgo de infección por el virus rábico, tales como, laboratorios de diagnóstico, producción e investigación de virus rábico, personal que actúa en campo en actividades antirrábicas, capturando, vacunando, identificando y clasificando animales susceptibles de portar el virus. </w:t>
            </w:r>
            <w:r w:rsidRPr="002C4A1E">
              <w:rPr>
                <w:rFonts w:ascii="Arial" w:eastAsia="Times New Roman" w:hAnsi="Arial" w:cs="Arial"/>
                <w:color w:val="000000"/>
                <w:sz w:val="20"/>
                <w:szCs w:val="20"/>
                <w:lang w:eastAsia="es-UY"/>
              </w:rPr>
              <w:br/>
              <w:t xml:space="preserve">Post-exposición: para la indicación de la profilaxis es importante considerar: </w:t>
            </w:r>
            <w:r w:rsidRPr="002C4A1E">
              <w:rPr>
                <w:rFonts w:ascii="Arial" w:eastAsia="Times New Roman" w:hAnsi="Arial" w:cs="Arial"/>
                <w:color w:val="000000"/>
                <w:sz w:val="20"/>
                <w:szCs w:val="20"/>
                <w:lang w:eastAsia="es-UY"/>
              </w:rPr>
              <w:br/>
              <w:t xml:space="preserve">- especie de animal involucrado </w:t>
            </w:r>
            <w:r w:rsidRPr="002C4A1E">
              <w:rPr>
                <w:rFonts w:ascii="Arial" w:eastAsia="Times New Roman" w:hAnsi="Arial" w:cs="Arial"/>
                <w:color w:val="000000"/>
                <w:sz w:val="20"/>
                <w:szCs w:val="20"/>
                <w:lang w:eastAsia="es-UY"/>
              </w:rPr>
              <w:br/>
              <w:t xml:space="preserve">- naturaleza de exposición </w:t>
            </w:r>
            <w:r w:rsidRPr="002C4A1E">
              <w:rPr>
                <w:rFonts w:ascii="Arial" w:eastAsia="Times New Roman" w:hAnsi="Arial" w:cs="Arial"/>
                <w:color w:val="000000"/>
                <w:sz w:val="20"/>
                <w:szCs w:val="20"/>
                <w:lang w:eastAsia="es-UY"/>
              </w:rPr>
              <w:br/>
              <w:t xml:space="preserve">- circunstancias de la exposición </w:t>
            </w:r>
            <w:r w:rsidRPr="002C4A1E">
              <w:rPr>
                <w:rFonts w:ascii="Arial" w:eastAsia="Times New Roman" w:hAnsi="Arial" w:cs="Arial"/>
                <w:color w:val="000000"/>
                <w:sz w:val="20"/>
                <w:szCs w:val="20"/>
                <w:lang w:eastAsia="es-UY"/>
              </w:rPr>
              <w:br/>
              <w:t xml:space="preserve">- observación del animal </w:t>
            </w:r>
            <w:r w:rsidRPr="002C4A1E">
              <w:rPr>
                <w:rFonts w:ascii="Arial" w:eastAsia="Times New Roman" w:hAnsi="Arial" w:cs="Arial"/>
                <w:color w:val="000000"/>
                <w:sz w:val="20"/>
                <w:szCs w:val="20"/>
                <w:lang w:eastAsia="es-UY"/>
              </w:rPr>
              <w:br/>
              <w:t xml:space="preserve">- las condiciones o antecedentes del animal agresor </w:t>
            </w:r>
            <w:r w:rsidRPr="002C4A1E">
              <w:rPr>
                <w:rFonts w:ascii="Arial" w:eastAsia="Times New Roman" w:hAnsi="Arial" w:cs="Arial"/>
                <w:color w:val="000000"/>
                <w:sz w:val="20"/>
                <w:szCs w:val="20"/>
                <w:lang w:eastAsia="es-UY"/>
              </w:rPr>
              <w:br/>
              <w:t xml:space="preserve">La profilaxis se realiza con vacuna antirrábica de cultivo celular (Unidad de Zoonosis y Vectores del Departamento de Epidemiología. MSP). La indicación del esquema profiláctico se hará de acuerdo a la situación epidemiológica del país. En la actualidad y frente a la ausencia de casos de Rabia humana y animal se indica la aplicación de 5 dosis y refuerzo de vacuna antirrábica de cultivo celular en células diploides.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15. Sífilis connatal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recién </w:t>
            </w:r>
            <w:proofErr w:type="gramStart"/>
            <w:r w:rsidRPr="002C4A1E">
              <w:rPr>
                <w:rFonts w:ascii="Arial" w:eastAsia="Times New Roman" w:hAnsi="Arial" w:cs="Arial"/>
                <w:color w:val="000000"/>
                <w:sz w:val="20"/>
                <w:szCs w:val="20"/>
                <w:lang w:eastAsia="es-UY"/>
              </w:rPr>
              <w:t>nacidos</w:t>
            </w:r>
            <w:proofErr w:type="gramEnd"/>
            <w:r w:rsidRPr="002C4A1E">
              <w:rPr>
                <w:rFonts w:ascii="Arial" w:eastAsia="Times New Roman" w:hAnsi="Arial" w:cs="Arial"/>
                <w:color w:val="000000"/>
                <w:sz w:val="20"/>
                <w:szCs w:val="20"/>
                <w:lang w:eastAsia="es-UY"/>
              </w:rPr>
              <w:t xml:space="preserve"> de madre VDRL+: </w:t>
            </w:r>
            <w:r w:rsidRPr="002C4A1E">
              <w:rPr>
                <w:rFonts w:ascii="Arial" w:eastAsia="Times New Roman" w:hAnsi="Arial" w:cs="Arial"/>
                <w:color w:val="000000"/>
                <w:sz w:val="20"/>
                <w:szCs w:val="20"/>
                <w:lang w:eastAsia="es-UY"/>
              </w:rPr>
              <w:br/>
              <w:t xml:space="preserve">- que llega al parto sin haber recibido un tratamiento antibiótico adecuado (Penicilina Benzatínica en la dosis correspondiente al estadio de la infección) </w:t>
            </w:r>
            <w:r w:rsidRPr="002C4A1E">
              <w:rPr>
                <w:rFonts w:ascii="Arial" w:eastAsia="Times New Roman" w:hAnsi="Arial" w:cs="Arial"/>
                <w:color w:val="000000"/>
                <w:sz w:val="20"/>
                <w:szCs w:val="20"/>
                <w:lang w:eastAsia="es-UY"/>
              </w:rPr>
              <w:br/>
              <w:t xml:space="preserve">- que haya sido tratada en el último mes de embarazo y/o que haya sido tratada con antibióticos diferentes a la penicilina.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aborto con feto muerto y macerado </w:t>
            </w:r>
            <w:r w:rsidRPr="002C4A1E">
              <w:rPr>
                <w:rFonts w:ascii="Arial" w:eastAsia="Times New Roman" w:hAnsi="Arial" w:cs="Arial"/>
                <w:color w:val="000000"/>
                <w:sz w:val="20"/>
                <w:szCs w:val="20"/>
                <w:lang w:eastAsia="es-UY"/>
              </w:rPr>
              <w:br/>
              <w:t xml:space="preserve">- mortinato </w:t>
            </w:r>
            <w:r w:rsidRPr="002C4A1E">
              <w:rPr>
                <w:rFonts w:ascii="Arial" w:eastAsia="Times New Roman" w:hAnsi="Arial" w:cs="Arial"/>
                <w:color w:val="000000"/>
                <w:sz w:val="20"/>
                <w:szCs w:val="20"/>
                <w:lang w:eastAsia="es-UY"/>
              </w:rPr>
              <w:br/>
              <w:t xml:space="preserve">- caso sospechoso con clínica y /o paraclínica de Sífilis Connatal Precoz </w:t>
            </w:r>
            <w:r w:rsidRPr="002C4A1E">
              <w:rPr>
                <w:rFonts w:ascii="Arial" w:eastAsia="Times New Roman" w:hAnsi="Arial" w:cs="Arial"/>
                <w:color w:val="000000"/>
                <w:sz w:val="20"/>
                <w:szCs w:val="20"/>
                <w:lang w:eastAsia="es-UY"/>
              </w:rPr>
              <w:br/>
              <w:t xml:space="preserve">- caso sospechoso con clínica y /o paraclínica de Sífilis Connatal Tardía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Educación a la comunidad sobre los riesgos de las enfermedades de transmisión sexual y los métodos de prevención. </w:t>
            </w:r>
            <w:r w:rsidRPr="002C4A1E">
              <w:rPr>
                <w:rFonts w:ascii="Arial" w:eastAsia="Times New Roman" w:hAnsi="Arial" w:cs="Arial"/>
                <w:color w:val="000000"/>
                <w:sz w:val="20"/>
                <w:szCs w:val="20"/>
                <w:lang w:eastAsia="es-UY"/>
              </w:rPr>
              <w:br/>
              <w:t xml:space="preserve">- Control de las ETS y educación sexual en los trabajadores sexuales. </w:t>
            </w:r>
            <w:r w:rsidRPr="002C4A1E">
              <w:rPr>
                <w:rFonts w:ascii="Arial" w:eastAsia="Times New Roman" w:hAnsi="Arial" w:cs="Arial"/>
                <w:color w:val="000000"/>
                <w:sz w:val="20"/>
                <w:szCs w:val="20"/>
                <w:lang w:eastAsia="es-UY"/>
              </w:rPr>
              <w:br/>
              <w:t xml:space="preserve">- Detección precoz y tratamiento oportuno de los casos. </w:t>
            </w:r>
            <w:r w:rsidRPr="002C4A1E">
              <w:rPr>
                <w:rFonts w:ascii="Arial" w:eastAsia="Times New Roman" w:hAnsi="Arial" w:cs="Arial"/>
                <w:color w:val="000000"/>
                <w:sz w:val="20"/>
                <w:szCs w:val="20"/>
                <w:lang w:eastAsia="es-UY"/>
              </w:rPr>
              <w:br/>
              <w:t xml:space="preserve">- Control del embarazo incluyendo estudios serológicos para prevenir la sífilis connatal.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Del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Uso de preservativo hasta completar el tratamiento y desaparición de las lesiones. </w:t>
            </w:r>
            <w:r w:rsidRPr="002C4A1E">
              <w:rPr>
                <w:rFonts w:ascii="Arial" w:eastAsia="Times New Roman" w:hAnsi="Arial" w:cs="Arial"/>
                <w:color w:val="000000"/>
                <w:sz w:val="20"/>
                <w:szCs w:val="20"/>
                <w:lang w:eastAsia="es-UY"/>
              </w:rPr>
              <w:br/>
              <w:t xml:space="preserve">- Investigación de contactos.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lastRenderedPageBreak/>
              <w:t>16. Sindrome de rubéola congénita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recién nacido cuya madre fue caso sospechoso o confirmado de Rubéola o contacto de caso confirmado de Rubéola durante la gestación, o todo niño hasta 12 meses de edad que presenta signos clínicos compatibles con infección congénita por el virus de la Rubéola, independiente de la historia materna.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Por laboratorio: </w:t>
            </w:r>
            <w:r w:rsidRPr="002C4A1E">
              <w:rPr>
                <w:rFonts w:ascii="Arial" w:eastAsia="Times New Roman" w:hAnsi="Arial" w:cs="Arial"/>
                <w:color w:val="000000"/>
                <w:sz w:val="20"/>
                <w:szCs w:val="20"/>
                <w:lang w:eastAsia="es-UY"/>
              </w:rPr>
              <w:br/>
              <w:t xml:space="preserve">Todo caso sospechoso confirmado laboratorialmente por prueba serológica o aislamiento viral y que presente signos clínicos específicos del síndrome. </w:t>
            </w:r>
            <w:r w:rsidRPr="002C4A1E">
              <w:rPr>
                <w:rFonts w:ascii="Arial" w:eastAsia="Times New Roman" w:hAnsi="Arial" w:cs="Arial"/>
                <w:color w:val="000000"/>
                <w:sz w:val="20"/>
                <w:szCs w:val="20"/>
                <w:lang w:eastAsia="es-UY"/>
              </w:rPr>
              <w:br/>
              <w:t xml:space="preserve">Por clínica: </w:t>
            </w:r>
            <w:r w:rsidRPr="002C4A1E">
              <w:rPr>
                <w:rFonts w:ascii="Arial" w:eastAsia="Times New Roman" w:hAnsi="Arial" w:cs="Arial"/>
                <w:color w:val="000000"/>
                <w:sz w:val="20"/>
                <w:szCs w:val="20"/>
                <w:lang w:eastAsia="es-UY"/>
              </w:rPr>
              <w:br/>
              <w:t xml:space="preserve">Un caso clínicamente confirmado es aquel en el que un médico detecta al menos dos de las complicaciones mencionadas en el punto a) ó al menos una del punto b) y en el cual no se obtuvo muestra biológica para confirmación de laboratorio. </w:t>
            </w:r>
            <w:r w:rsidRPr="002C4A1E">
              <w:rPr>
                <w:rFonts w:ascii="Arial" w:eastAsia="Times New Roman" w:hAnsi="Arial" w:cs="Arial"/>
                <w:color w:val="000000"/>
                <w:sz w:val="20"/>
                <w:szCs w:val="20"/>
                <w:lang w:eastAsia="es-UY"/>
              </w:rPr>
              <w:br/>
              <w:t xml:space="preserve">a) Cataratas y/o glaucoma congénito, enfermedad cardíaca congénita, pérdida de la audición, retinopatía pigmentaria. </w:t>
            </w:r>
            <w:r w:rsidRPr="002C4A1E">
              <w:rPr>
                <w:rFonts w:ascii="Arial" w:eastAsia="Times New Roman" w:hAnsi="Arial" w:cs="Arial"/>
                <w:color w:val="000000"/>
                <w:sz w:val="20"/>
                <w:szCs w:val="20"/>
                <w:lang w:eastAsia="es-UY"/>
              </w:rPr>
              <w:br/>
              <w:t xml:space="preserve">b) Púrpura, esplenomegalia, microcefalia, retardo mental, meningoencefalitis, enfermedad radiolúcida de huesos, ictericia en las 24 hs. después del parto.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Según pautas internacionales (OPS/OMS) para la eliminación o erradicación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17. Tétanos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de cualquier edad, sin vacunación antitetánica vigente, con o sin antecedente de heridas (traumáticas, quirúrgicas, o de otro tipo) o inyectables, que presenta contracciones musculares dolorosas, espasmos localizados o generalizados a predominio cefálico, graves o que pueden ser inducidos o agravados por estímulos sensoriales. </w:t>
            </w:r>
            <w:r w:rsidRPr="002C4A1E">
              <w:rPr>
                <w:rFonts w:ascii="Arial" w:eastAsia="Times New Roman" w:hAnsi="Arial" w:cs="Arial"/>
                <w:color w:val="000000"/>
                <w:sz w:val="20"/>
                <w:szCs w:val="20"/>
                <w:lang w:eastAsia="es-UY"/>
              </w:rPr>
              <w:br/>
              <w:t xml:space="preserve">En niños prepúberes y adultos la rigidez abdominal puede se un elemento de sospecha de Tétanos.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El diagnóstico es principalmente clínico. La confirmación del diagnóstico por de estudios de laboratorio es poco útil. En la mayoría de los casos no se aisla el germen en el sitio de la infección.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Vacunación universal obligatoria incluida en el Programa Ampliado de Inmunizaciones de MSP con las siguientes vacunas de acuerdo a la edad: Pentavalente o DT (doble bacteriana de primoinoculación), DPT (triple bacteriana), dT (doble bacteriana para escolares y adultos). La vacunación de refuerzo en el adulto se indica cada 10 años sin límite máximo de edad. </w:t>
            </w:r>
            <w:r w:rsidRPr="002C4A1E">
              <w:rPr>
                <w:rFonts w:ascii="Arial" w:eastAsia="Times New Roman" w:hAnsi="Arial" w:cs="Arial"/>
                <w:color w:val="000000"/>
                <w:sz w:val="20"/>
                <w:szCs w:val="20"/>
                <w:lang w:eastAsia="es-UY"/>
              </w:rPr>
              <w:br/>
              <w:t xml:space="preserve">- Educación a la población sobre los riesgos de las heridas cerradas, punzantes o contaminadas y la necesidad de mantener una adecuada inmunización antitetánica.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Ver en “Tétanos neonatal” inmunización de las mujeres en edad fértil.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18. Tétanos neonatal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Todo recién nacido que nace bien y succiona normalmente y que entre el 2º y 28º día de vida, presenta dificultades para succionar, llanto constante e irritabilidad; o </w:t>
            </w:r>
            <w:r w:rsidRPr="002C4A1E">
              <w:rPr>
                <w:rFonts w:ascii="Arial" w:eastAsia="Times New Roman" w:hAnsi="Arial" w:cs="Arial"/>
                <w:color w:val="000000"/>
                <w:sz w:val="20"/>
                <w:szCs w:val="20"/>
                <w:lang w:eastAsia="es-UY"/>
              </w:rPr>
              <w:br/>
              <w:t xml:space="preserve">- Muerte por causa desconocida en recién nacido entre el 2º y 28º día de vida.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sospechoso, asociado a manifestaciones clínicas como: trismus, risa sardónica, opistótonos, crisis de contracturas, rigidez de nuca. No siempre se observan señales inflamatorias en el cordón umbilical. </w:t>
            </w:r>
            <w:r w:rsidRPr="002C4A1E">
              <w:rPr>
                <w:rFonts w:ascii="Arial" w:eastAsia="Times New Roman" w:hAnsi="Arial" w:cs="Arial"/>
                <w:color w:val="000000"/>
                <w:sz w:val="20"/>
                <w:szCs w:val="20"/>
                <w:lang w:eastAsia="es-UY"/>
              </w:rPr>
              <w:br/>
              <w:t xml:space="preserve">El diagnóstico es eminentemente clínico, no habiendo necesidad de confirmación laboratorial.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Vacunación </w:t>
            </w:r>
            <w:proofErr w:type="gramStart"/>
            <w:r w:rsidRPr="002C4A1E">
              <w:rPr>
                <w:rFonts w:ascii="Arial" w:eastAsia="Times New Roman" w:hAnsi="Arial" w:cs="Arial"/>
                <w:color w:val="000000"/>
                <w:sz w:val="20"/>
                <w:szCs w:val="20"/>
                <w:lang w:eastAsia="es-UY"/>
              </w:rPr>
              <w:t>al 100 % de las mujeres en edad fértil, gestantes</w:t>
            </w:r>
            <w:proofErr w:type="gramEnd"/>
            <w:r w:rsidRPr="002C4A1E">
              <w:rPr>
                <w:rFonts w:ascii="Arial" w:eastAsia="Times New Roman" w:hAnsi="Arial" w:cs="Arial"/>
                <w:color w:val="000000"/>
                <w:sz w:val="20"/>
                <w:szCs w:val="20"/>
                <w:lang w:eastAsia="es-UY"/>
              </w:rPr>
              <w:t xml:space="preserve"> o no con vacuna dT (doble bacteriana de adulto). </w:t>
            </w:r>
            <w:r w:rsidRPr="002C4A1E">
              <w:rPr>
                <w:rFonts w:ascii="Arial" w:eastAsia="Times New Roman" w:hAnsi="Arial" w:cs="Arial"/>
                <w:color w:val="000000"/>
                <w:sz w:val="20"/>
                <w:szCs w:val="20"/>
                <w:lang w:eastAsia="es-UY"/>
              </w:rPr>
              <w:br/>
              <w:t xml:space="preserve">- Control del embarazo y condiciones adecuadas del parto.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19. Cualquier enfermedad o evento sanitario de riesgo que se presente en forma inusitada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Debe notificarse toda enfermedad transmisible no incluida en la presente lista o evento sanitario que se manifieste en forma diferente a lo habitual, ya sea por el número de los casos, su gravedad, manifestaciones clínicas no frecuentes, aparición en poblaciones en las que no es común, o cualquier otra característica que pueda considerarse diferente o inusual.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Grupo B</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Notificación dentro de la primera semana a partir de la sospecha de la enfermedad mediante comunicación telefónica, fax, telegrama, correo, correo electrónico o personalmente.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1. Accidente de trabajo y enfermedad profesional </w:t>
            </w:r>
            <w:r w:rsidRPr="002C4A1E">
              <w:rPr>
                <w:rFonts w:ascii="Arial" w:eastAsia="Times New Roman" w:hAnsi="Arial" w:cs="Arial"/>
                <w:color w:val="000000"/>
                <w:sz w:val="20"/>
                <w:szCs w:val="20"/>
                <w:lang w:eastAsia="es-UY"/>
              </w:rPr>
              <w:br/>
              <w:t xml:space="preserve">Definición de caso a notificar: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Accidente laboral: Toda lesión que ocurra vinculada al proceso de trabajo.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Enfermedades profesionales: Las comprendidas como tales en el convenio 121 de OIT, con diagnóstico presuntivo o confirmado e independientemente de la condición de asegurado de enfermo.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Listado de enfermedades profesionales del convenio 121 de OIT: </w:t>
            </w:r>
            <w:r w:rsidRPr="002C4A1E">
              <w:rPr>
                <w:rFonts w:ascii="Arial" w:eastAsia="Times New Roman" w:hAnsi="Arial" w:cs="Arial"/>
                <w:color w:val="000000"/>
                <w:sz w:val="20"/>
                <w:szCs w:val="20"/>
                <w:lang w:eastAsia="es-UY"/>
              </w:rPr>
              <w:br/>
              <w:t xml:space="preserve">- Neumoconiosis causada por polvos minerales esclerógenos (silicosis, antracosilicosis, asbestosis) y silicosis-tuberculosis siempre que la silicosis sea una causa determinante de incapacidad o muerte. </w:t>
            </w:r>
            <w:r w:rsidRPr="002C4A1E">
              <w:rPr>
                <w:rFonts w:ascii="Arial" w:eastAsia="Times New Roman" w:hAnsi="Arial" w:cs="Arial"/>
                <w:color w:val="000000"/>
                <w:sz w:val="20"/>
                <w:szCs w:val="20"/>
                <w:lang w:eastAsia="es-UY"/>
              </w:rPr>
              <w:br/>
              <w:t xml:space="preserve">- Bronconeumopatías a Id. </w:t>
            </w:r>
            <w:proofErr w:type="gramStart"/>
            <w:r w:rsidRPr="002C4A1E">
              <w:rPr>
                <w:rFonts w:ascii="Arial" w:eastAsia="Times New Roman" w:hAnsi="Arial" w:cs="Arial"/>
                <w:color w:val="000000"/>
                <w:sz w:val="20"/>
                <w:szCs w:val="20"/>
                <w:lang w:eastAsia="es-UY"/>
              </w:rPr>
              <w:t>causadas</w:t>
            </w:r>
            <w:proofErr w:type="gramEnd"/>
            <w:r w:rsidRPr="002C4A1E">
              <w:rPr>
                <w:rFonts w:ascii="Arial" w:eastAsia="Times New Roman" w:hAnsi="Arial" w:cs="Arial"/>
                <w:color w:val="000000"/>
                <w:sz w:val="20"/>
                <w:szCs w:val="20"/>
                <w:lang w:eastAsia="es-UY"/>
              </w:rPr>
              <w:t xml:space="preserve"> por el polvo de metales duros. </w:t>
            </w:r>
            <w:r w:rsidRPr="002C4A1E">
              <w:rPr>
                <w:rFonts w:ascii="Arial" w:eastAsia="Times New Roman" w:hAnsi="Arial" w:cs="Arial"/>
                <w:color w:val="000000"/>
                <w:sz w:val="20"/>
                <w:szCs w:val="20"/>
                <w:lang w:eastAsia="es-UY"/>
              </w:rPr>
              <w:br/>
              <w:t xml:space="preserve">- Enfermedades broncopulmonares causadas por el polvo de algodón (bisinosis), de lino, de cañamo o de sisal. </w:t>
            </w:r>
            <w:r w:rsidRPr="002C4A1E">
              <w:rPr>
                <w:rFonts w:ascii="Arial" w:eastAsia="Times New Roman" w:hAnsi="Arial" w:cs="Arial"/>
                <w:color w:val="000000"/>
                <w:sz w:val="20"/>
                <w:szCs w:val="20"/>
                <w:lang w:eastAsia="es-UY"/>
              </w:rPr>
              <w:br/>
              <w:t xml:space="preserve">- Asma profesional causada por agentes sensibilizantes o irritantes reconocidos como tales e inherentes al tipo de trabajo.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Alveolitis alérgicas extrínsecas y sus secuelas causadas por la inhalación de polvos orgánicos, según lo prescrito en la legislación nacional. </w:t>
            </w:r>
            <w:r w:rsidRPr="002C4A1E">
              <w:rPr>
                <w:rFonts w:ascii="Arial" w:eastAsia="Times New Roman" w:hAnsi="Arial" w:cs="Arial"/>
                <w:color w:val="000000"/>
                <w:sz w:val="20"/>
                <w:szCs w:val="20"/>
                <w:lang w:eastAsia="es-UY"/>
              </w:rPr>
              <w:br/>
              <w:t xml:space="preserve">- Enfermedades causadas por el berilio (glucinio) o sus compuestos tóxicos. </w:t>
            </w:r>
            <w:r w:rsidRPr="002C4A1E">
              <w:rPr>
                <w:rFonts w:ascii="Arial" w:eastAsia="Times New Roman" w:hAnsi="Arial" w:cs="Arial"/>
                <w:color w:val="000000"/>
                <w:sz w:val="20"/>
                <w:szCs w:val="20"/>
                <w:lang w:eastAsia="es-UY"/>
              </w:rPr>
              <w:br/>
              <w:t xml:space="preserve">- Enfermedades causadas por el cadmio o sus compuestos tóxicos. </w:t>
            </w:r>
            <w:r w:rsidRPr="002C4A1E">
              <w:rPr>
                <w:rFonts w:ascii="Arial" w:eastAsia="Times New Roman" w:hAnsi="Arial" w:cs="Arial"/>
                <w:color w:val="000000"/>
                <w:sz w:val="20"/>
                <w:szCs w:val="20"/>
                <w:lang w:eastAsia="es-UY"/>
              </w:rPr>
              <w:br/>
              <w:t xml:space="preserve">- Enfermedades causadas por el fósforo o sus compuestos tóxicos. </w:t>
            </w:r>
            <w:r w:rsidRPr="002C4A1E">
              <w:rPr>
                <w:rFonts w:ascii="Arial" w:eastAsia="Times New Roman" w:hAnsi="Arial" w:cs="Arial"/>
                <w:color w:val="000000"/>
                <w:sz w:val="20"/>
                <w:szCs w:val="20"/>
                <w:lang w:eastAsia="es-UY"/>
              </w:rPr>
              <w:br/>
              <w:t xml:space="preserve">- Enfermedades causadas por el manganeso o sus compuestos tóxicos. </w:t>
            </w:r>
            <w:r w:rsidRPr="002C4A1E">
              <w:rPr>
                <w:rFonts w:ascii="Arial" w:eastAsia="Times New Roman" w:hAnsi="Arial" w:cs="Arial"/>
                <w:color w:val="000000"/>
                <w:sz w:val="20"/>
                <w:szCs w:val="20"/>
                <w:lang w:eastAsia="es-UY"/>
              </w:rPr>
              <w:br/>
              <w:t xml:space="preserve">- Enfermedades causadas por el arsénico o sus compuestos tóxicos. </w:t>
            </w:r>
            <w:r w:rsidRPr="002C4A1E">
              <w:rPr>
                <w:rFonts w:ascii="Arial" w:eastAsia="Times New Roman" w:hAnsi="Arial" w:cs="Arial"/>
                <w:color w:val="000000"/>
                <w:sz w:val="20"/>
                <w:szCs w:val="20"/>
                <w:lang w:eastAsia="es-UY"/>
              </w:rPr>
              <w:br/>
              <w:t xml:space="preserve">- Enfermedades causadas por el mercurio o sus compuestos tóxicos. </w:t>
            </w:r>
            <w:r w:rsidRPr="002C4A1E">
              <w:rPr>
                <w:rFonts w:ascii="Arial" w:eastAsia="Times New Roman" w:hAnsi="Arial" w:cs="Arial"/>
                <w:color w:val="000000"/>
                <w:sz w:val="20"/>
                <w:szCs w:val="20"/>
                <w:lang w:eastAsia="es-UY"/>
              </w:rPr>
              <w:br/>
              <w:t xml:space="preserve">- Enfermedades causadas por el plomo o sus compuestos tóxicos. </w:t>
            </w:r>
            <w:r w:rsidRPr="002C4A1E">
              <w:rPr>
                <w:rFonts w:ascii="Arial" w:eastAsia="Times New Roman" w:hAnsi="Arial" w:cs="Arial"/>
                <w:color w:val="000000"/>
                <w:sz w:val="20"/>
                <w:szCs w:val="20"/>
                <w:lang w:eastAsia="es-UY"/>
              </w:rPr>
              <w:br/>
              <w:t xml:space="preserve">- Enfermedades causadas por el flúor o sus compuestos tóxicos. </w:t>
            </w:r>
            <w:r w:rsidRPr="002C4A1E">
              <w:rPr>
                <w:rFonts w:ascii="Arial" w:eastAsia="Times New Roman" w:hAnsi="Arial" w:cs="Arial"/>
                <w:color w:val="000000"/>
                <w:sz w:val="20"/>
                <w:szCs w:val="20"/>
                <w:lang w:eastAsia="es-UY"/>
              </w:rPr>
              <w:br/>
              <w:t xml:space="preserve">- Enfermedades causadas por el sulfuro de carbono. </w:t>
            </w:r>
            <w:r w:rsidRPr="002C4A1E">
              <w:rPr>
                <w:rFonts w:ascii="Arial" w:eastAsia="Times New Roman" w:hAnsi="Arial" w:cs="Arial"/>
                <w:color w:val="000000"/>
                <w:sz w:val="20"/>
                <w:szCs w:val="20"/>
                <w:lang w:eastAsia="es-UY"/>
              </w:rPr>
              <w:br/>
              <w:t xml:space="preserve">- Enfermedades causadas por los derivados halogenados tóxicos de los hidrocarburos alifáticos o aromáticos. </w:t>
            </w:r>
            <w:r w:rsidRPr="002C4A1E">
              <w:rPr>
                <w:rFonts w:ascii="Arial" w:eastAsia="Times New Roman" w:hAnsi="Arial" w:cs="Arial"/>
                <w:color w:val="000000"/>
                <w:sz w:val="20"/>
                <w:szCs w:val="20"/>
                <w:lang w:eastAsia="es-UY"/>
              </w:rPr>
              <w:br/>
              <w:t xml:space="preserve">- Enfermedades causadas por el benceno o sus homólogos tóxicos. </w:t>
            </w:r>
            <w:r w:rsidRPr="002C4A1E">
              <w:rPr>
                <w:rFonts w:ascii="Arial" w:eastAsia="Times New Roman" w:hAnsi="Arial" w:cs="Arial"/>
                <w:color w:val="000000"/>
                <w:sz w:val="20"/>
                <w:szCs w:val="20"/>
                <w:lang w:eastAsia="es-UY"/>
              </w:rPr>
              <w:br/>
              <w:t xml:space="preserve">- Enfermedades causadas por los derivados nitrados y amínicos tóxicos del benceno o de sus homólogos. </w:t>
            </w:r>
            <w:r w:rsidRPr="002C4A1E">
              <w:rPr>
                <w:rFonts w:ascii="Arial" w:eastAsia="Times New Roman" w:hAnsi="Arial" w:cs="Arial"/>
                <w:color w:val="000000"/>
                <w:sz w:val="20"/>
                <w:szCs w:val="20"/>
                <w:lang w:eastAsia="es-UY"/>
              </w:rPr>
              <w:br/>
              <w:t xml:space="preserve">- Enfermedades causadas por la nitroglicerina u otros ésteres del ácido nítrico. </w:t>
            </w:r>
            <w:r w:rsidRPr="002C4A1E">
              <w:rPr>
                <w:rFonts w:ascii="Arial" w:eastAsia="Times New Roman" w:hAnsi="Arial" w:cs="Arial"/>
                <w:color w:val="000000"/>
                <w:sz w:val="20"/>
                <w:szCs w:val="20"/>
                <w:lang w:eastAsia="es-UY"/>
              </w:rPr>
              <w:br/>
              <w:t xml:space="preserve">- Enfermedades causadas por los alcoholes, los glicoles o las cetonas. </w:t>
            </w:r>
            <w:r w:rsidRPr="002C4A1E">
              <w:rPr>
                <w:rFonts w:ascii="Arial" w:eastAsia="Times New Roman" w:hAnsi="Arial" w:cs="Arial"/>
                <w:color w:val="000000"/>
                <w:sz w:val="20"/>
                <w:szCs w:val="20"/>
                <w:lang w:eastAsia="es-UY"/>
              </w:rPr>
              <w:br/>
              <w:t xml:space="preserve">- Enfermedades causadas por substancias asfixiantes: óxido de carbono, cianuro de hidrógeno o sus derivados tóxicos, hidrógeno sulfurado. </w:t>
            </w:r>
            <w:r w:rsidRPr="002C4A1E">
              <w:rPr>
                <w:rFonts w:ascii="Arial" w:eastAsia="Times New Roman" w:hAnsi="Arial" w:cs="Arial"/>
                <w:color w:val="000000"/>
                <w:sz w:val="20"/>
                <w:szCs w:val="20"/>
                <w:lang w:eastAsia="es-UY"/>
              </w:rPr>
              <w:br/>
              <w:t xml:space="preserve">- Afección auditiva causada por el ruido. </w:t>
            </w:r>
            <w:r w:rsidRPr="002C4A1E">
              <w:rPr>
                <w:rFonts w:ascii="Arial" w:eastAsia="Times New Roman" w:hAnsi="Arial" w:cs="Arial"/>
                <w:color w:val="000000"/>
                <w:sz w:val="20"/>
                <w:szCs w:val="20"/>
                <w:lang w:eastAsia="es-UY"/>
              </w:rPr>
              <w:br/>
              <w:t xml:space="preserve">- Enfermedades causadas por las vibraciones (afecciones de los tendones, de los huesos, de las articulaciones, de los vasos sanguíneos periféricos o de los nervios periféricos). </w:t>
            </w:r>
            <w:r w:rsidRPr="002C4A1E">
              <w:rPr>
                <w:rFonts w:ascii="Arial" w:eastAsia="Times New Roman" w:hAnsi="Arial" w:cs="Arial"/>
                <w:color w:val="000000"/>
                <w:sz w:val="20"/>
                <w:szCs w:val="20"/>
                <w:lang w:eastAsia="es-UY"/>
              </w:rPr>
              <w:br/>
              <w:t xml:space="preserve">- Enfermedades causadas por el trabajo en aire comprimido. </w:t>
            </w:r>
            <w:r w:rsidRPr="002C4A1E">
              <w:rPr>
                <w:rFonts w:ascii="Arial" w:eastAsia="Times New Roman" w:hAnsi="Arial" w:cs="Arial"/>
                <w:color w:val="000000"/>
                <w:sz w:val="20"/>
                <w:szCs w:val="20"/>
                <w:lang w:eastAsia="es-UY"/>
              </w:rPr>
              <w:br/>
              <w:t xml:space="preserve">- Enfermedades causadas por la acción de radiaciones ionizantes. </w:t>
            </w:r>
            <w:r w:rsidRPr="002C4A1E">
              <w:rPr>
                <w:rFonts w:ascii="Arial" w:eastAsia="Times New Roman" w:hAnsi="Arial" w:cs="Arial"/>
                <w:color w:val="000000"/>
                <w:sz w:val="20"/>
                <w:szCs w:val="20"/>
                <w:lang w:eastAsia="es-UY"/>
              </w:rPr>
              <w:br/>
              <w:t xml:space="preserve">- Enfermedades de la piel causadas por agentes físicos, químicos o biológicos no considerados en otras rubricas. </w:t>
            </w:r>
            <w:r w:rsidRPr="002C4A1E">
              <w:rPr>
                <w:rFonts w:ascii="Arial" w:eastAsia="Times New Roman" w:hAnsi="Arial" w:cs="Arial"/>
                <w:color w:val="000000"/>
                <w:sz w:val="20"/>
                <w:szCs w:val="20"/>
                <w:lang w:eastAsia="es-UY"/>
              </w:rPr>
              <w:br/>
              <w:t xml:space="preserve">- Epiteliomas primitivos de la piel causados por el alquitrán, brea, betún, aceites minerales, antraceno o los compuestos, productos residuos de esas substancias. </w:t>
            </w:r>
            <w:r w:rsidRPr="002C4A1E">
              <w:rPr>
                <w:rFonts w:ascii="Arial" w:eastAsia="Times New Roman" w:hAnsi="Arial" w:cs="Arial"/>
                <w:color w:val="000000"/>
                <w:sz w:val="20"/>
                <w:szCs w:val="20"/>
                <w:lang w:eastAsia="es-UY"/>
              </w:rPr>
              <w:br/>
              <w:t xml:space="preserve">- Cáncer de pulmón o mesiotelioma causados por el amianto. </w:t>
            </w:r>
            <w:r w:rsidRPr="002C4A1E">
              <w:rPr>
                <w:rFonts w:ascii="Arial" w:eastAsia="Times New Roman" w:hAnsi="Arial" w:cs="Arial"/>
                <w:color w:val="000000"/>
                <w:sz w:val="20"/>
                <w:szCs w:val="20"/>
                <w:lang w:eastAsia="es-UY"/>
              </w:rPr>
              <w:br/>
              <w:t xml:space="preserve">- Enfermedades infecciosas o parasitarias contraídas en una actividad que implique un riesgo especial de contaminación.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2. Accidente de tránsito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de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asistido por lesiones ocasionadas en accidente de tránsito. </w:t>
            </w:r>
            <w:r w:rsidRPr="002C4A1E">
              <w:rPr>
                <w:rFonts w:ascii="Arial" w:eastAsia="Times New Roman" w:hAnsi="Arial" w:cs="Arial"/>
                <w:color w:val="000000"/>
                <w:sz w:val="20"/>
                <w:szCs w:val="20"/>
                <w:lang w:eastAsia="es-UY"/>
              </w:rPr>
              <w:br/>
              <w:t xml:space="preserve">Se incluyen en esta categoría: </w:t>
            </w:r>
            <w:r w:rsidRPr="002C4A1E">
              <w:rPr>
                <w:rFonts w:ascii="Arial" w:eastAsia="Times New Roman" w:hAnsi="Arial" w:cs="Arial"/>
                <w:color w:val="000000"/>
                <w:sz w:val="20"/>
                <w:szCs w:val="20"/>
                <w:lang w:eastAsia="es-UY"/>
              </w:rPr>
              <w:br/>
              <w:t xml:space="preserve">- Vuelco de vehículo </w:t>
            </w:r>
            <w:r w:rsidRPr="002C4A1E">
              <w:rPr>
                <w:rFonts w:ascii="Arial" w:eastAsia="Times New Roman" w:hAnsi="Arial" w:cs="Arial"/>
                <w:color w:val="000000"/>
                <w:sz w:val="20"/>
                <w:szCs w:val="20"/>
                <w:lang w:eastAsia="es-UY"/>
              </w:rPr>
              <w:br/>
              <w:t xml:space="preserve">- Colisión de uno o más vehículos </w:t>
            </w:r>
            <w:r w:rsidRPr="002C4A1E">
              <w:rPr>
                <w:rFonts w:ascii="Arial" w:eastAsia="Times New Roman" w:hAnsi="Arial" w:cs="Arial"/>
                <w:color w:val="000000"/>
                <w:sz w:val="20"/>
                <w:szCs w:val="20"/>
                <w:lang w:eastAsia="es-UY"/>
              </w:rPr>
              <w:br/>
              <w:t xml:space="preserve">- Atropellamiento de peatón por vehículo o por animal en la vía pública. </w:t>
            </w:r>
            <w:r w:rsidRPr="002C4A1E">
              <w:rPr>
                <w:rFonts w:ascii="Arial" w:eastAsia="Times New Roman" w:hAnsi="Arial" w:cs="Arial"/>
                <w:color w:val="000000"/>
                <w:sz w:val="20"/>
                <w:szCs w:val="20"/>
                <w:lang w:eastAsia="es-UY"/>
              </w:rPr>
              <w:br/>
              <w:t xml:space="preserve">Se entiende por vehículo todo transporte terrestre a tracción humana (bicicleta, carro, etc.), animal o a motor de cualquier tipo. También se incluye trailer o acoplados y todo otro tipo de animal o elemento utilizado como transporte cuando circula por la vía publica urbana, suburbana o interurbana y en espacios públicos o privados en general.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preventivas y de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Educación a la comunidad sobre los riesgos y normas de tránsito. </w:t>
            </w:r>
            <w:r w:rsidRPr="002C4A1E">
              <w:rPr>
                <w:rFonts w:ascii="Arial" w:eastAsia="Times New Roman" w:hAnsi="Arial" w:cs="Arial"/>
                <w:color w:val="000000"/>
                <w:sz w:val="20"/>
                <w:szCs w:val="20"/>
                <w:lang w:eastAsia="es-UY"/>
              </w:rPr>
              <w:br/>
              <w:t xml:space="preserve">- Habilitación correspondiente para la conducción de vehículos de acuerdo con las características del mismo y la reglamentación vigente. </w:t>
            </w:r>
            <w:r w:rsidRPr="002C4A1E">
              <w:rPr>
                <w:rFonts w:ascii="Arial" w:eastAsia="Times New Roman" w:hAnsi="Arial" w:cs="Arial"/>
                <w:color w:val="000000"/>
                <w:sz w:val="20"/>
                <w:szCs w:val="20"/>
                <w:lang w:eastAsia="es-UY"/>
              </w:rPr>
              <w:br/>
              <w:t xml:space="preserve">- Control de tránsito y cumplimiento de las normas. </w:t>
            </w:r>
            <w:r w:rsidRPr="002C4A1E">
              <w:rPr>
                <w:rFonts w:ascii="Arial" w:eastAsia="Times New Roman" w:hAnsi="Arial" w:cs="Arial"/>
                <w:color w:val="000000"/>
                <w:sz w:val="20"/>
                <w:szCs w:val="20"/>
                <w:lang w:eastAsia="es-UY"/>
              </w:rPr>
              <w:br/>
              <w:t xml:space="preserve">- Medidas de señalización y mantenimiento adecuado de </w:t>
            </w:r>
            <w:proofErr w:type="gramStart"/>
            <w:r w:rsidRPr="002C4A1E">
              <w:rPr>
                <w:rFonts w:ascii="Arial" w:eastAsia="Times New Roman" w:hAnsi="Arial" w:cs="Arial"/>
                <w:color w:val="000000"/>
                <w:sz w:val="20"/>
                <w:szCs w:val="20"/>
                <w:lang w:eastAsia="es-UY"/>
              </w:rPr>
              <w:t>la calles</w:t>
            </w:r>
            <w:proofErr w:type="gramEnd"/>
            <w:r w:rsidRPr="002C4A1E">
              <w:rPr>
                <w:rFonts w:ascii="Arial" w:eastAsia="Times New Roman" w:hAnsi="Arial" w:cs="Arial"/>
                <w:color w:val="000000"/>
                <w:sz w:val="20"/>
                <w:szCs w:val="20"/>
                <w:lang w:eastAsia="es-UY"/>
              </w:rPr>
              <w:t xml:space="preserve">, caminos y rutas. </w:t>
            </w:r>
            <w:r w:rsidRPr="002C4A1E">
              <w:rPr>
                <w:rFonts w:ascii="Arial" w:eastAsia="Times New Roman" w:hAnsi="Arial" w:cs="Arial"/>
                <w:color w:val="000000"/>
                <w:sz w:val="20"/>
                <w:szCs w:val="20"/>
                <w:lang w:eastAsia="es-UY"/>
              </w:rPr>
              <w:br/>
              <w:t xml:space="preserve">- Control adecuado del estado y seguridad de los vehículos para su habilitación.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Actualización y adecuación de las normas de tránsito.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3. Brucelosis humana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con clínica compatible (enfermedad de comienzo insidioso o agudo con fiebre contínua, intermitente o irregular de variada duración, sudoración particularmente nocturna, escalofríos, fatiga, anorexia, pérdida de peso, cefalea, artralgias, y malestar generalizado) epidemiológicamente relacionado con casos sospechosos o confirmados de Brucelosis en animales o productos animales contaminados.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probable: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Brucelosis con test de Rosa Bengala positivo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o probable de Brucelosis con confirmación de laboratorio por: </w:t>
            </w:r>
            <w:r w:rsidRPr="002C4A1E">
              <w:rPr>
                <w:rFonts w:ascii="Arial" w:eastAsia="Times New Roman" w:hAnsi="Arial" w:cs="Arial"/>
                <w:color w:val="000000"/>
                <w:sz w:val="20"/>
                <w:szCs w:val="20"/>
                <w:lang w:eastAsia="es-UY"/>
              </w:rPr>
              <w:br/>
              <w:t xml:space="preserve">- Aislamiento de Brucella spp. </w:t>
            </w:r>
            <w:proofErr w:type="gramStart"/>
            <w:r w:rsidRPr="002C4A1E">
              <w:rPr>
                <w:rFonts w:ascii="Arial" w:eastAsia="Times New Roman" w:hAnsi="Arial" w:cs="Arial"/>
                <w:color w:val="000000"/>
                <w:sz w:val="20"/>
                <w:szCs w:val="20"/>
                <w:lang w:eastAsia="es-UY"/>
              </w:rPr>
              <w:t>en</w:t>
            </w:r>
            <w:proofErr w:type="gramEnd"/>
            <w:r w:rsidRPr="002C4A1E">
              <w:rPr>
                <w:rFonts w:ascii="Arial" w:eastAsia="Times New Roman" w:hAnsi="Arial" w:cs="Arial"/>
                <w:color w:val="000000"/>
                <w:sz w:val="20"/>
                <w:szCs w:val="20"/>
                <w:lang w:eastAsia="es-UY"/>
              </w:rPr>
              <w:t xml:space="preserve"> sangre, secreciones, médula ósea u otros tejidos, o </w:t>
            </w:r>
            <w:r w:rsidRPr="002C4A1E">
              <w:rPr>
                <w:rFonts w:ascii="Arial" w:eastAsia="Times New Roman" w:hAnsi="Arial" w:cs="Arial"/>
                <w:color w:val="000000"/>
                <w:sz w:val="20"/>
                <w:szCs w:val="20"/>
                <w:lang w:eastAsia="es-UY"/>
              </w:rPr>
              <w:br/>
              <w:t xml:space="preserve">- Títulos elevados de anticuerpos (SAT&gt;= 160), o su aumento en una o más muestras de suero obtenidas luego del inicio de los síntomas.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Educación a la población para evitar el consumo de leche cruda no pasteurizada. </w:t>
            </w:r>
            <w:r w:rsidRPr="002C4A1E">
              <w:rPr>
                <w:rFonts w:ascii="Arial" w:eastAsia="Times New Roman" w:hAnsi="Arial" w:cs="Arial"/>
                <w:color w:val="000000"/>
                <w:sz w:val="20"/>
                <w:szCs w:val="20"/>
                <w:lang w:eastAsia="es-UY"/>
              </w:rPr>
              <w:br/>
              <w:t xml:space="preserve">- Educación de trabajadores rurales, de mataderos, frigoríficos y otros manipuladores de carne y productos de animales potencialmente infectados, sobre el uso de mecanismos de barrera y ventilación adecuada </w:t>
            </w:r>
            <w:r w:rsidRPr="002C4A1E">
              <w:rPr>
                <w:rFonts w:ascii="Arial" w:eastAsia="Times New Roman" w:hAnsi="Arial" w:cs="Arial"/>
                <w:color w:val="000000"/>
                <w:sz w:val="20"/>
                <w:szCs w:val="20"/>
                <w:lang w:eastAsia="es-UY"/>
              </w:rPr>
              <w:br/>
              <w:t xml:space="preserve">- Control de la infección en el ganado. </w:t>
            </w:r>
            <w:r w:rsidRPr="002C4A1E">
              <w:rPr>
                <w:rFonts w:ascii="Arial" w:eastAsia="Times New Roman" w:hAnsi="Arial" w:cs="Arial"/>
                <w:color w:val="000000"/>
                <w:sz w:val="20"/>
                <w:szCs w:val="20"/>
                <w:lang w:eastAsia="es-UY"/>
              </w:rPr>
              <w:br/>
              <w:t xml:space="preserve">- Pasteurización de la leche y productos lácteos de vacas, ovejas y cabras. </w:t>
            </w:r>
            <w:r w:rsidRPr="002C4A1E">
              <w:rPr>
                <w:rFonts w:ascii="Arial" w:eastAsia="Times New Roman" w:hAnsi="Arial" w:cs="Arial"/>
                <w:color w:val="000000"/>
                <w:sz w:val="20"/>
                <w:szCs w:val="20"/>
                <w:lang w:eastAsia="es-UY"/>
              </w:rPr>
              <w:br/>
              <w:t xml:space="preserve">Control del paciente </w:t>
            </w:r>
            <w:r w:rsidRPr="002C4A1E">
              <w:rPr>
                <w:rFonts w:ascii="Arial" w:eastAsia="Times New Roman" w:hAnsi="Arial" w:cs="Arial"/>
                <w:color w:val="000000"/>
                <w:sz w:val="20"/>
                <w:szCs w:val="20"/>
                <w:lang w:eastAsia="es-UY"/>
              </w:rPr>
              <w:br/>
              <w:t xml:space="preserve">- Aislamiento: precauciones con drenajes y secreciones. </w:t>
            </w:r>
            <w:r w:rsidRPr="002C4A1E">
              <w:rPr>
                <w:rFonts w:ascii="Arial" w:eastAsia="Times New Roman" w:hAnsi="Arial" w:cs="Arial"/>
                <w:color w:val="000000"/>
                <w:sz w:val="20"/>
                <w:szCs w:val="20"/>
                <w:lang w:eastAsia="es-UY"/>
              </w:rPr>
              <w:br/>
              <w:t xml:space="preserve">- Investigación de contactos y fuentes de infección.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4. Carbunco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Cutáneo: lesiones cutáneas con evolución característica (pápula, vesícula y éscara oscura rodeada por edema y vesículas secundarias) </w:t>
            </w:r>
            <w:r w:rsidRPr="002C4A1E">
              <w:rPr>
                <w:rFonts w:ascii="Arial" w:eastAsia="Times New Roman" w:hAnsi="Arial" w:cs="Arial"/>
                <w:color w:val="000000"/>
                <w:sz w:val="20"/>
                <w:szCs w:val="20"/>
                <w:lang w:eastAsia="es-UY"/>
              </w:rPr>
              <w:br/>
              <w:t xml:space="preserve">- Infección por inhalación: síntomas iniciales mínimos e inespecíficos de vías respiratorias superiores que evolucionan a la insuficiencia respiratoria, fiebre y shock. </w:t>
            </w:r>
            <w:r w:rsidRPr="002C4A1E">
              <w:rPr>
                <w:rFonts w:ascii="Arial" w:eastAsia="Times New Roman" w:hAnsi="Arial" w:cs="Arial"/>
                <w:color w:val="000000"/>
                <w:sz w:val="20"/>
                <w:szCs w:val="20"/>
                <w:lang w:eastAsia="es-UY"/>
              </w:rPr>
              <w:br/>
              <w:t xml:space="preserve">- Infección intestinal: malestar abdominal, fiebre y septicemia con antecedente de ingestión de alimentos contaminados.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Confirmación de la presencia de Bacillus anthracis en lesiones, sangre o secreciones mediante diferentes métodos de laboratorio: </w:t>
            </w:r>
            <w:r w:rsidRPr="002C4A1E">
              <w:rPr>
                <w:rFonts w:ascii="Arial" w:eastAsia="Times New Roman" w:hAnsi="Arial" w:cs="Arial"/>
                <w:color w:val="000000"/>
                <w:sz w:val="20"/>
                <w:szCs w:val="20"/>
                <w:lang w:eastAsia="es-UY"/>
              </w:rPr>
              <w:br/>
              <w:t xml:space="preserve">- Frotis de exudado de pústula, escara o edema teñidos con azul de metileno policrómico </w:t>
            </w:r>
            <w:r w:rsidRPr="002C4A1E">
              <w:rPr>
                <w:rFonts w:ascii="Arial" w:eastAsia="Times New Roman" w:hAnsi="Arial" w:cs="Arial"/>
                <w:color w:val="000000"/>
                <w:sz w:val="20"/>
                <w:szCs w:val="20"/>
                <w:lang w:eastAsia="es-UY"/>
              </w:rPr>
              <w:lastRenderedPageBreak/>
              <w:t xml:space="preserve">(M’Fadyean) </w:t>
            </w:r>
            <w:r w:rsidRPr="002C4A1E">
              <w:rPr>
                <w:rFonts w:ascii="Arial" w:eastAsia="Times New Roman" w:hAnsi="Arial" w:cs="Arial"/>
                <w:color w:val="000000"/>
                <w:sz w:val="20"/>
                <w:szCs w:val="20"/>
                <w:lang w:eastAsia="es-UY"/>
              </w:rPr>
              <w:br/>
              <w:t xml:space="preserve">- Cultivo de muestras de lesiones y hemocultivos (los resultados negativos de frotis o cultivo no excluyen el diagnóstico) </w:t>
            </w:r>
            <w:r w:rsidRPr="002C4A1E">
              <w:rPr>
                <w:rFonts w:ascii="Arial" w:eastAsia="Times New Roman" w:hAnsi="Arial" w:cs="Arial"/>
                <w:color w:val="000000"/>
                <w:sz w:val="20"/>
                <w:szCs w:val="20"/>
                <w:lang w:eastAsia="es-UY"/>
              </w:rPr>
              <w:br/>
              <w:t xml:space="preserve">- Inoculación a ratones, cobayos o conejos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Inmunización de personas expuestas </w:t>
            </w:r>
            <w:r w:rsidRPr="002C4A1E">
              <w:rPr>
                <w:rFonts w:ascii="Arial" w:eastAsia="Times New Roman" w:hAnsi="Arial" w:cs="Arial"/>
                <w:color w:val="000000"/>
                <w:sz w:val="20"/>
                <w:szCs w:val="20"/>
                <w:lang w:eastAsia="es-UY"/>
              </w:rPr>
              <w:br/>
              <w:t xml:space="preserve">- Inmunización de animales sanos en riesgo. </w:t>
            </w:r>
            <w:r w:rsidRPr="002C4A1E">
              <w:rPr>
                <w:rFonts w:ascii="Arial" w:eastAsia="Times New Roman" w:hAnsi="Arial" w:cs="Arial"/>
                <w:color w:val="000000"/>
                <w:sz w:val="20"/>
                <w:szCs w:val="20"/>
                <w:lang w:eastAsia="es-UY"/>
              </w:rPr>
              <w:br/>
              <w:t xml:space="preserve">- Control de polvo y ventilación adecuada en industrias que manipulan animales sin tratar. </w:t>
            </w:r>
            <w:r w:rsidRPr="002C4A1E">
              <w:rPr>
                <w:rFonts w:ascii="Arial" w:eastAsia="Times New Roman" w:hAnsi="Arial" w:cs="Arial"/>
                <w:color w:val="000000"/>
                <w:sz w:val="20"/>
                <w:szCs w:val="20"/>
                <w:lang w:eastAsia="es-UY"/>
              </w:rPr>
              <w:br/>
              <w:t xml:space="preserve">- Adecuada higiene y desinfección de productos de origen animal antes de su procesamiento industrial </w:t>
            </w:r>
            <w:r w:rsidRPr="002C4A1E">
              <w:rPr>
                <w:rFonts w:ascii="Arial" w:eastAsia="Times New Roman" w:hAnsi="Arial" w:cs="Arial"/>
                <w:color w:val="000000"/>
                <w:sz w:val="20"/>
                <w:szCs w:val="20"/>
                <w:lang w:eastAsia="es-UY"/>
              </w:rPr>
              <w:br/>
              <w:t xml:space="preserve">- Eliminación de materiales y productos contaminados. </w:t>
            </w:r>
            <w:r w:rsidRPr="002C4A1E">
              <w:rPr>
                <w:rFonts w:ascii="Arial" w:eastAsia="Times New Roman" w:hAnsi="Arial" w:cs="Arial"/>
                <w:color w:val="000000"/>
                <w:sz w:val="20"/>
                <w:szCs w:val="20"/>
                <w:lang w:eastAsia="es-UY"/>
              </w:rPr>
              <w:br/>
              <w:t xml:space="preserve">- Desinfección o fumigación de materiales contaminados. </w:t>
            </w:r>
            <w:r w:rsidRPr="002C4A1E">
              <w:rPr>
                <w:rFonts w:ascii="Arial" w:eastAsia="Times New Roman" w:hAnsi="Arial" w:cs="Arial"/>
                <w:color w:val="000000"/>
                <w:sz w:val="20"/>
                <w:szCs w:val="20"/>
                <w:lang w:eastAsia="es-UY"/>
              </w:rPr>
              <w:br/>
              <w:t xml:space="preserve">- Tratamiento de áreas contaminadas con cal viva o solución de lejía al 5 % </w:t>
            </w:r>
            <w:r w:rsidRPr="002C4A1E">
              <w:rPr>
                <w:rFonts w:ascii="Arial" w:eastAsia="Times New Roman" w:hAnsi="Arial" w:cs="Arial"/>
                <w:color w:val="000000"/>
                <w:sz w:val="20"/>
                <w:szCs w:val="20"/>
                <w:lang w:eastAsia="es-UY"/>
              </w:rPr>
              <w:br/>
              <w:t xml:space="preserve">Control del paciente y fuente de infección </w:t>
            </w:r>
            <w:r w:rsidRPr="002C4A1E">
              <w:rPr>
                <w:rFonts w:ascii="Arial" w:eastAsia="Times New Roman" w:hAnsi="Arial" w:cs="Arial"/>
                <w:color w:val="000000"/>
                <w:sz w:val="20"/>
                <w:szCs w:val="20"/>
                <w:lang w:eastAsia="es-UY"/>
              </w:rPr>
              <w:br/>
              <w:t xml:space="preserve">- Aislamiento: precauciones de drenaje y secreciones </w:t>
            </w:r>
            <w:r w:rsidRPr="002C4A1E">
              <w:rPr>
                <w:rFonts w:ascii="Arial" w:eastAsia="Times New Roman" w:hAnsi="Arial" w:cs="Arial"/>
                <w:color w:val="000000"/>
                <w:sz w:val="20"/>
                <w:szCs w:val="20"/>
                <w:lang w:eastAsia="es-UY"/>
              </w:rPr>
              <w:br/>
              <w:t xml:space="preserve">- Desinfección del exudado de las lesiones y materiales contaminados </w:t>
            </w:r>
            <w:r w:rsidRPr="002C4A1E">
              <w:rPr>
                <w:rFonts w:ascii="Arial" w:eastAsia="Times New Roman" w:hAnsi="Arial" w:cs="Arial"/>
                <w:color w:val="000000"/>
                <w:sz w:val="20"/>
                <w:szCs w:val="20"/>
                <w:lang w:eastAsia="es-UY"/>
              </w:rPr>
              <w:br/>
              <w:t xml:space="preserve">- Investigación de los contactos y la fuente de infección </w:t>
            </w:r>
            <w:r w:rsidRPr="002C4A1E">
              <w:rPr>
                <w:rFonts w:ascii="Arial" w:eastAsia="Times New Roman" w:hAnsi="Arial" w:cs="Arial"/>
                <w:color w:val="000000"/>
                <w:sz w:val="20"/>
                <w:szCs w:val="20"/>
                <w:lang w:eastAsia="es-UY"/>
              </w:rPr>
              <w:br/>
              <w:t xml:space="preserve">- Tratamiento y vacunación de animales sintomáticos.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5. Enfermedad de Chagas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infección aguda: paciente con síndrome febril prolongado, más la presencia de otro síntoma específico (edema bipalpebral, unilateral, indoloro, varios días de evolución, de coloración violácea, con adenopatía satélite preauricular: Signo de Romaña) o inespecífico (esplenomegalia o chagoma de inoculación: “roncha” violácea, indurada, indolora, no pruriginosa, de varios días de evolución) y que: </w:t>
            </w:r>
            <w:r w:rsidRPr="002C4A1E">
              <w:rPr>
                <w:rFonts w:ascii="Arial" w:eastAsia="Times New Roman" w:hAnsi="Arial" w:cs="Arial"/>
                <w:color w:val="000000"/>
                <w:sz w:val="20"/>
                <w:szCs w:val="20"/>
                <w:lang w:eastAsia="es-UY"/>
              </w:rPr>
              <w:br/>
              <w:t xml:space="preserve">- reside o ha estado en zona endémica en los últimos 6 meses, o </w:t>
            </w:r>
            <w:r w:rsidRPr="002C4A1E">
              <w:rPr>
                <w:rFonts w:ascii="Arial" w:eastAsia="Times New Roman" w:hAnsi="Arial" w:cs="Arial"/>
                <w:color w:val="000000"/>
                <w:sz w:val="20"/>
                <w:szCs w:val="20"/>
                <w:lang w:eastAsia="es-UY"/>
              </w:rPr>
              <w:br/>
              <w:t xml:space="preserve">- antecedentes de Contacto con sangre (transfusiones, drogadicción IV, accidentes de trabajo) u otro material biológico. </w:t>
            </w:r>
            <w:r w:rsidRPr="002C4A1E">
              <w:rPr>
                <w:rFonts w:ascii="Arial" w:eastAsia="Times New Roman" w:hAnsi="Arial" w:cs="Arial"/>
                <w:color w:val="000000"/>
                <w:sz w:val="20"/>
                <w:szCs w:val="20"/>
                <w:lang w:eastAsia="es-UY"/>
              </w:rPr>
              <w:br/>
              <w:t xml:space="preserve">Chagas transfusional: Fiebre de etiología desconocida, adenopatías, hepatoesplenomegalia y con el antecedente de haber recibido una transfusión sanguínea en un lapso de un mes aproximadamente. </w:t>
            </w:r>
            <w:r w:rsidRPr="002C4A1E">
              <w:rPr>
                <w:rFonts w:ascii="Arial" w:eastAsia="Times New Roman" w:hAnsi="Arial" w:cs="Arial"/>
                <w:color w:val="000000"/>
                <w:sz w:val="20"/>
                <w:szCs w:val="20"/>
                <w:lang w:eastAsia="es-UY"/>
              </w:rPr>
              <w:br/>
              <w:t xml:space="preserve">Caso sospechoso de Chagas congénito: niños de hasta 1 año de edad, hijo de madre con serología positiva para Chagas, sano o con ictericia, hepato-esplenomegalia, fiebre.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de infección aguda: caso sospecho confirmado por laboratorio (visualización del Trypanosoma </w:t>
            </w:r>
            <w:proofErr w:type="gramStart"/>
            <w:r w:rsidRPr="002C4A1E">
              <w:rPr>
                <w:rFonts w:ascii="Arial" w:eastAsia="Times New Roman" w:hAnsi="Arial" w:cs="Arial"/>
                <w:color w:val="000000"/>
                <w:sz w:val="20"/>
                <w:szCs w:val="20"/>
                <w:lang w:eastAsia="es-UY"/>
              </w:rPr>
              <w:t>cruzi )</w:t>
            </w:r>
            <w:proofErr w:type="gramEnd"/>
            <w:r w:rsidRPr="002C4A1E">
              <w:rPr>
                <w:rFonts w:ascii="Arial" w:eastAsia="Times New Roman" w:hAnsi="Arial" w:cs="Arial"/>
                <w:color w:val="000000"/>
                <w:sz w:val="20"/>
                <w:szCs w:val="20"/>
                <w:lang w:eastAsia="es-UY"/>
              </w:rPr>
              <w:t xml:space="preserve"> </w:t>
            </w:r>
            <w:r w:rsidRPr="002C4A1E">
              <w:rPr>
                <w:rFonts w:ascii="Arial" w:eastAsia="Times New Roman" w:hAnsi="Arial" w:cs="Arial"/>
                <w:color w:val="000000"/>
                <w:sz w:val="20"/>
                <w:szCs w:val="20"/>
                <w:lang w:eastAsia="es-UY"/>
              </w:rPr>
              <w:br/>
              <w:t xml:space="preserve">Caso confirmado de Chagas congénito: hasta los 6 meses de edad se debe investigar obligatoriamente la presencia de Trypanosoma cruzi, ya que la serología puede ser positiva por transmisión pasiva de anticuerpos. </w:t>
            </w:r>
            <w:r w:rsidRPr="002C4A1E">
              <w:rPr>
                <w:rFonts w:ascii="Arial" w:eastAsia="Times New Roman" w:hAnsi="Arial" w:cs="Arial"/>
                <w:color w:val="000000"/>
                <w:sz w:val="20"/>
                <w:szCs w:val="20"/>
                <w:lang w:eastAsia="es-UY"/>
              </w:rPr>
              <w:br/>
              <w:t xml:space="preserve">En niños mayores de 6 meses de edad: 2 técnicas serológicas diferentes positivas y que una de ellas sea ELISA o IFI. </w:t>
            </w:r>
            <w:r w:rsidRPr="002C4A1E">
              <w:rPr>
                <w:rFonts w:ascii="Arial" w:eastAsia="Times New Roman" w:hAnsi="Arial" w:cs="Arial"/>
                <w:color w:val="000000"/>
                <w:sz w:val="20"/>
                <w:szCs w:val="20"/>
                <w:lang w:eastAsia="es-UY"/>
              </w:rPr>
              <w:br/>
              <w:t xml:space="preserve">Diagnóstico de laboratorio: la parasitología positiva directa (Strout, gota fresca, microhematocrito) son confirmatorias. Si el primer estudio resulta negativo se debe repetir la técnica. </w:t>
            </w:r>
            <w:r w:rsidRPr="002C4A1E">
              <w:rPr>
                <w:rFonts w:ascii="Arial" w:eastAsia="Times New Roman" w:hAnsi="Arial" w:cs="Arial"/>
                <w:color w:val="000000"/>
                <w:sz w:val="20"/>
                <w:szCs w:val="20"/>
                <w:lang w:eastAsia="es-UY"/>
              </w:rPr>
              <w:br/>
              <w:t xml:space="preserve">La serología positiva para anticuerpos contra Trypanosoma cruzi (IgM) tiene carácter presuntivo. Para detección de IgG, se utilizan: inmunofluorescencia indirecta (IFI); prueba de </w:t>
            </w:r>
            <w:r w:rsidRPr="002C4A1E">
              <w:rPr>
                <w:rFonts w:ascii="Arial" w:eastAsia="Times New Roman" w:hAnsi="Arial" w:cs="Arial"/>
                <w:color w:val="000000"/>
                <w:sz w:val="20"/>
                <w:szCs w:val="20"/>
                <w:lang w:eastAsia="es-UY"/>
              </w:rPr>
              <w:lastRenderedPageBreak/>
              <w:t xml:space="preserve">hemaglutinación indirecta (IHA); prueba de aglutinación directa (DA) y Elisa. </w:t>
            </w:r>
            <w:r w:rsidRPr="002C4A1E">
              <w:rPr>
                <w:rFonts w:ascii="Arial" w:eastAsia="Times New Roman" w:hAnsi="Arial" w:cs="Arial"/>
                <w:color w:val="000000"/>
                <w:sz w:val="20"/>
                <w:szCs w:val="20"/>
                <w:lang w:eastAsia="es-UY"/>
              </w:rPr>
              <w:br/>
              <w:t xml:space="preserve">Estas técnicas se aplican en fase aguda a partir del día 20 de adquirida la infección.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Acciones de educación e información a la comuidad sobre la enfermedad, su modo de transmisión y los métodos de prevención. </w:t>
            </w:r>
            <w:r w:rsidRPr="002C4A1E">
              <w:rPr>
                <w:rFonts w:ascii="Arial" w:eastAsia="Times New Roman" w:hAnsi="Arial" w:cs="Arial"/>
                <w:color w:val="000000"/>
                <w:sz w:val="20"/>
                <w:szCs w:val="20"/>
                <w:lang w:eastAsia="es-UY"/>
              </w:rPr>
              <w:br/>
              <w:t xml:space="preserve">- Planes para mejorar las viviendas y/o para la construcción adecuada de las mismas y otras instalaciones. </w:t>
            </w:r>
            <w:r w:rsidRPr="002C4A1E">
              <w:rPr>
                <w:rFonts w:ascii="Arial" w:eastAsia="Times New Roman" w:hAnsi="Arial" w:cs="Arial"/>
                <w:color w:val="000000"/>
                <w:sz w:val="20"/>
                <w:szCs w:val="20"/>
                <w:lang w:eastAsia="es-UY"/>
              </w:rPr>
              <w:br/>
              <w:t xml:space="preserve">- La aparición de un caso debe dar lugar a las acciones de control vectorial y reforzamiento de la vigilancia entomológica.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Control del paciente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Tratamiento específico del caso </w:t>
            </w:r>
            <w:r w:rsidRPr="002C4A1E">
              <w:rPr>
                <w:rFonts w:ascii="Arial" w:eastAsia="Times New Roman" w:hAnsi="Arial" w:cs="Arial"/>
                <w:color w:val="000000"/>
                <w:sz w:val="20"/>
                <w:szCs w:val="20"/>
                <w:lang w:eastAsia="es-UY"/>
              </w:rPr>
              <w:br/>
              <w:t xml:space="preserve">- Búsqueda de infección aguda en los convivientes del caso. </w:t>
            </w:r>
            <w:r w:rsidRPr="002C4A1E">
              <w:rPr>
                <w:rFonts w:ascii="Arial" w:eastAsia="Times New Roman" w:hAnsi="Arial" w:cs="Arial"/>
                <w:color w:val="000000"/>
                <w:sz w:val="20"/>
                <w:szCs w:val="20"/>
                <w:lang w:eastAsia="es-UY"/>
              </w:rPr>
              <w:br/>
              <w:t xml:space="preserve">- Investigación epidemiológica para la identificación de fuente de infección y medidas de control dependiento del tipo (domicilio, banco de sangre o maternidades).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6. Enfermedad de Creutzfeldt – Jakob (nvCJD)</w:t>
            </w:r>
            <w:r w:rsidRPr="002C4A1E">
              <w:rPr>
                <w:rFonts w:ascii="Arial" w:eastAsia="Times New Roman" w:hAnsi="Arial" w:cs="Arial"/>
                <w:b/>
                <w:bCs/>
                <w:color w:val="000000"/>
                <w:sz w:val="20"/>
                <w:szCs w:val="20"/>
                <w:lang w:eastAsia="es-UY"/>
              </w:rPr>
              <w:br/>
              <w:t>Encefalopatía espongiforme subaguda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que presenta: </w:t>
            </w:r>
            <w:r w:rsidRPr="002C4A1E">
              <w:rPr>
                <w:rFonts w:ascii="Arial" w:eastAsia="Times New Roman" w:hAnsi="Arial" w:cs="Arial"/>
                <w:color w:val="000000"/>
                <w:sz w:val="20"/>
                <w:szCs w:val="20"/>
                <w:lang w:eastAsia="es-UY"/>
              </w:rPr>
              <w:br/>
              <w:t xml:space="preserve">- Demencia progresiva, y </w:t>
            </w:r>
            <w:r w:rsidRPr="002C4A1E">
              <w:rPr>
                <w:rFonts w:ascii="Arial" w:eastAsia="Times New Roman" w:hAnsi="Arial" w:cs="Arial"/>
                <w:color w:val="000000"/>
                <w:sz w:val="20"/>
                <w:szCs w:val="20"/>
                <w:lang w:eastAsia="es-UY"/>
              </w:rPr>
              <w:br/>
              <w:t xml:space="preserve">- EEG atípico o no conocido, y </w:t>
            </w:r>
            <w:r w:rsidRPr="002C4A1E">
              <w:rPr>
                <w:rFonts w:ascii="Arial" w:eastAsia="Times New Roman" w:hAnsi="Arial" w:cs="Arial"/>
                <w:color w:val="000000"/>
                <w:sz w:val="20"/>
                <w:szCs w:val="20"/>
                <w:lang w:eastAsia="es-UY"/>
              </w:rPr>
              <w:br/>
              <w:t xml:space="preserve">- Duración menor a 2 años, y </w:t>
            </w:r>
            <w:r w:rsidRPr="002C4A1E">
              <w:rPr>
                <w:rFonts w:ascii="Arial" w:eastAsia="Times New Roman" w:hAnsi="Arial" w:cs="Arial"/>
                <w:color w:val="000000"/>
                <w:sz w:val="20"/>
                <w:szCs w:val="20"/>
                <w:lang w:eastAsia="es-UY"/>
              </w:rPr>
              <w:br/>
              <w:t xml:space="preserve">- Al menos 2 de los siguientes elementos clínicos: mioclonias, disturbios visuales o cerebelosos, disfunción piramidal / extrapiramidal, akinesia.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Caso sospechoso de CJD confirmado por anatomía patológica, y/o </w:t>
            </w:r>
            <w:r w:rsidRPr="002C4A1E">
              <w:rPr>
                <w:rFonts w:ascii="Arial" w:eastAsia="Times New Roman" w:hAnsi="Arial" w:cs="Arial"/>
                <w:color w:val="000000"/>
                <w:sz w:val="20"/>
                <w:szCs w:val="20"/>
                <w:lang w:eastAsia="es-UY"/>
              </w:rPr>
              <w:br/>
              <w:t xml:space="preserve">- Inmunohistoquímica: confirmación de proteina amiloidea anormal (PrP) (Western blot).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Evitar transplante de tejidos procedentes de pacientes infectados. </w:t>
            </w:r>
            <w:r w:rsidRPr="002C4A1E">
              <w:rPr>
                <w:rFonts w:ascii="Arial" w:eastAsia="Times New Roman" w:hAnsi="Arial" w:cs="Arial"/>
                <w:color w:val="000000"/>
                <w:sz w:val="20"/>
                <w:szCs w:val="20"/>
                <w:lang w:eastAsia="es-UY"/>
              </w:rPr>
              <w:br/>
              <w:t xml:space="preserve">- Esterilizar en autoclave instrumentos quirúrgicos u otros equipos contaminados con tejidos de pacientes infectados. </w:t>
            </w:r>
            <w:r w:rsidRPr="002C4A1E">
              <w:rPr>
                <w:rFonts w:ascii="Arial" w:eastAsia="Times New Roman" w:hAnsi="Arial" w:cs="Arial"/>
                <w:color w:val="000000"/>
                <w:sz w:val="20"/>
                <w:szCs w:val="20"/>
                <w:lang w:eastAsia="es-UY"/>
              </w:rPr>
              <w:br/>
              <w:t xml:space="preserve">- Investigación de los contactos y la fuente de infección.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7. Exposición a contaminantes ambientales: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 este item en particular el objetivo es la notificación de eventos de exposición, no la intoxicación, cuya notificación está prevista en otro capítulo. (ver item 8: Intoxicaciones agudas”)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a. Plomo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Definición de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Plombemia de 15 microgramos/dl o mayor, en persona de cualquier edad y sexo. </w:t>
            </w:r>
            <w:r w:rsidRPr="002C4A1E">
              <w:rPr>
                <w:rFonts w:ascii="Arial" w:eastAsia="Times New Roman" w:hAnsi="Arial" w:cs="Arial"/>
                <w:color w:val="000000"/>
                <w:sz w:val="20"/>
                <w:szCs w:val="20"/>
                <w:lang w:eastAsia="es-UY"/>
              </w:rPr>
              <w:br/>
              <w:t xml:space="preserve">Medición realizada por cualquiera de los métodos analíticos en uso en el país (espectrofotometría de absorción atómica, o electroquímica)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b. Mercurio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de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Mercurio inorgánico en orina superior a 5 microgramos/gr de creatinina ó </w:t>
            </w:r>
            <w:r w:rsidRPr="002C4A1E">
              <w:rPr>
                <w:rFonts w:ascii="Arial" w:eastAsia="Times New Roman" w:hAnsi="Arial" w:cs="Arial"/>
                <w:color w:val="000000"/>
                <w:sz w:val="20"/>
                <w:szCs w:val="20"/>
                <w:lang w:eastAsia="es-UY"/>
              </w:rPr>
              <w:br/>
              <w:t xml:space="preserve">Mercurio en orina superior a 10 microgramos/litro.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c. Plaguicidas: organofosforados y/o carbamato</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de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Descenso de actividad de acetilcolinesterasa (plasmática, eritrocitaria o en sangre total) superior a 25% de la inicial basal.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8. Fiebre Q</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r w:rsidRPr="002C4A1E">
              <w:rPr>
                <w:rFonts w:ascii="Arial" w:eastAsia="Times New Roman" w:hAnsi="Arial" w:cs="Arial"/>
                <w:color w:val="000000"/>
                <w:sz w:val="20"/>
                <w:szCs w:val="20"/>
                <w:lang w:eastAsia="es-UY"/>
              </w:rPr>
              <w:br/>
              <w:t xml:space="preserve">- Personas con antecedentes de exposición a la enfermedad y desarrollan síntomas similares a una gripe, neumonía, hepatitis o endocarditis. </w:t>
            </w:r>
            <w:r w:rsidRPr="002C4A1E">
              <w:rPr>
                <w:rFonts w:ascii="Arial" w:eastAsia="Times New Roman" w:hAnsi="Arial" w:cs="Arial"/>
                <w:color w:val="000000"/>
                <w:sz w:val="20"/>
                <w:szCs w:val="20"/>
                <w:lang w:eastAsia="es-UY"/>
              </w:rPr>
              <w:br/>
              <w:t xml:space="preserve">- Paciente que presenta síntomas de la enfermedad aguda: </w:t>
            </w:r>
            <w:r w:rsidRPr="002C4A1E">
              <w:rPr>
                <w:rFonts w:ascii="Arial" w:eastAsia="Times New Roman" w:hAnsi="Arial" w:cs="Arial"/>
                <w:color w:val="000000"/>
                <w:sz w:val="20"/>
                <w:szCs w:val="20"/>
                <w:lang w:eastAsia="es-UY"/>
              </w:rPr>
              <w:br/>
              <w:t xml:space="preserve">- sintomatología similar a la gripe: fiebre, dolor de cabeza, dolor muscular </w:t>
            </w:r>
            <w:r w:rsidRPr="002C4A1E">
              <w:rPr>
                <w:rFonts w:ascii="Arial" w:eastAsia="Times New Roman" w:hAnsi="Arial" w:cs="Arial"/>
                <w:color w:val="000000"/>
                <w:sz w:val="20"/>
                <w:szCs w:val="20"/>
                <w:lang w:eastAsia="es-UY"/>
              </w:rPr>
              <w:br/>
              <w:t xml:space="preserve">- neumonía, fiebre, tos, dolor torácico al respirar, dificultad para respirar </w:t>
            </w:r>
            <w:r w:rsidRPr="002C4A1E">
              <w:rPr>
                <w:rFonts w:ascii="Arial" w:eastAsia="Times New Roman" w:hAnsi="Arial" w:cs="Arial"/>
                <w:color w:val="000000"/>
                <w:sz w:val="20"/>
                <w:szCs w:val="20"/>
                <w:lang w:eastAsia="es-UY"/>
              </w:rPr>
              <w:br/>
              <w:t xml:space="preserve">- hepatitis, ictericia, heces del color de la arcilla, fiebre </w:t>
            </w:r>
            <w:r w:rsidRPr="002C4A1E">
              <w:rPr>
                <w:rFonts w:ascii="Arial" w:eastAsia="Times New Roman" w:hAnsi="Arial" w:cs="Arial"/>
                <w:color w:val="000000"/>
                <w:sz w:val="20"/>
                <w:szCs w:val="20"/>
                <w:lang w:eastAsia="es-UY"/>
              </w:rPr>
              <w:br/>
              <w:t xml:space="preserve">- Paciente con síntomas de la enfermedad crónica: </w:t>
            </w:r>
            <w:r w:rsidRPr="002C4A1E">
              <w:rPr>
                <w:rFonts w:ascii="Arial" w:eastAsia="Times New Roman" w:hAnsi="Arial" w:cs="Arial"/>
                <w:color w:val="000000"/>
                <w:sz w:val="20"/>
                <w:szCs w:val="20"/>
                <w:lang w:eastAsia="es-UY"/>
              </w:rPr>
              <w:br/>
              <w:t xml:space="preserve">- fiebre prolongada, sudoración nocturna, escalofríos, fatiga y dificultad para respirar.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Caso sospechoso de Fiebre Q confirmado por laboratorio a partir de la determinación de anticuerpos en la sangre del paciente. El un cultivo de la Coxiella burnetii (agente que causa la enfermedad</w:t>
            </w:r>
            <w:proofErr w:type="gramStart"/>
            <w:r w:rsidRPr="002C4A1E">
              <w:rPr>
                <w:rFonts w:ascii="Arial" w:eastAsia="Times New Roman" w:hAnsi="Arial" w:cs="Arial"/>
                <w:color w:val="000000"/>
                <w:sz w:val="20"/>
                <w:szCs w:val="20"/>
                <w:lang w:eastAsia="es-UY"/>
              </w:rPr>
              <w:t>)muy</w:t>
            </w:r>
            <w:proofErr w:type="gramEnd"/>
            <w:r w:rsidRPr="002C4A1E">
              <w:rPr>
                <w:rFonts w:ascii="Arial" w:eastAsia="Times New Roman" w:hAnsi="Arial" w:cs="Arial"/>
                <w:color w:val="000000"/>
                <w:sz w:val="20"/>
                <w:szCs w:val="20"/>
                <w:lang w:eastAsia="es-UY"/>
              </w:rPr>
              <w:t xml:space="preserve"> difícil realizar.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Educación a la comunidad sobre las posibles fuentes de infección. </w:t>
            </w:r>
            <w:r w:rsidRPr="002C4A1E">
              <w:rPr>
                <w:rFonts w:ascii="Arial" w:eastAsia="Times New Roman" w:hAnsi="Arial" w:cs="Arial"/>
                <w:color w:val="000000"/>
                <w:sz w:val="20"/>
                <w:szCs w:val="20"/>
                <w:lang w:eastAsia="es-UY"/>
              </w:rPr>
              <w:br/>
              <w:t xml:space="preserve">Desinfección y eliminación de los productos de la concepción de los animales (placenta y líquidos placentarios) </w:t>
            </w:r>
            <w:r w:rsidRPr="002C4A1E">
              <w:rPr>
                <w:rFonts w:ascii="Arial" w:eastAsia="Times New Roman" w:hAnsi="Arial" w:cs="Arial"/>
                <w:color w:val="000000"/>
                <w:sz w:val="20"/>
                <w:szCs w:val="20"/>
                <w:lang w:eastAsia="es-UY"/>
              </w:rPr>
              <w:br/>
              <w:t xml:space="preserve">Pasteurización de la leche y cocción de los alimentos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9. Fiebre tifoidea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individuo con fiebre persistente, que puede o no ser acompañada de uno o más de los siguientes signos y síntomas: cefalea, malestar general, dolor abdominal, anorexia, disociación pulso temperatura, constipación o diarrea, tos seca, roséolas tíficas (manchas rosadas en el </w:t>
            </w:r>
            <w:r w:rsidRPr="002C4A1E">
              <w:rPr>
                <w:rFonts w:ascii="Arial" w:eastAsia="Times New Roman" w:hAnsi="Arial" w:cs="Arial"/>
                <w:color w:val="000000"/>
                <w:sz w:val="20"/>
                <w:szCs w:val="20"/>
                <w:lang w:eastAsia="es-UY"/>
              </w:rPr>
              <w:lastRenderedPageBreak/>
              <w:t xml:space="preserve">tronco) o esplenomegalia.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Caso sospechoso confirmado por laboratorio con aislamiento del agente por hemocultivo, coprocultivo y/o reacción en cadena de la Polimerasa (PCR). </w:t>
            </w:r>
            <w:r w:rsidRPr="002C4A1E">
              <w:rPr>
                <w:rFonts w:ascii="Arial" w:eastAsia="Times New Roman" w:hAnsi="Arial" w:cs="Arial"/>
                <w:color w:val="000000"/>
                <w:sz w:val="20"/>
                <w:szCs w:val="20"/>
                <w:lang w:eastAsia="es-UY"/>
              </w:rPr>
              <w:br/>
              <w:t xml:space="preserve">- Caso sospechoso confirmado por nexo epidemiológico con caso confirmado por laboratorio en el curso de un brote.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En relación al caso, se recomienda: </w:t>
            </w:r>
            <w:r w:rsidRPr="002C4A1E">
              <w:rPr>
                <w:rFonts w:ascii="Arial" w:eastAsia="Times New Roman" w:hAnsi="Arial" w:cs="Arial"/>
                <w:color w:val="000000"/>
                <w:sz w:val="20"/>
                <w:szCs w:val="20"/>
                <w:lang w:eastAsia="es-UY"/>
              </w:rPr>
              <w:br/>
              <w:t xml:space="preserve">- precauciones entéricas, </w:t>
            </w:r>
            <w:r w:rsidRPr="002C4A1E">
              <w:rPr>
                <w:rFonts w:ascii="Arial" w:eastAsia="Times New Roman" w:hAnsi="Arial" w:cs="Arial"/>
                <w:color w:val="000000"/>
                <w:sz w:val="20"/>
                <w:szCs w:val="20"/>
                <w:lang w:eastAsia="es-UY"/>
              </w:rPr>
              <w:br/>
              <w:t xml:space="preserve">- búsqueda activa de contactos, </w:t>
            </w:r>
            <w:r w:rsidRPr="002C4A1E">
              <w:rPr>
                <w:rFonts w:ascii="Arial" w:eastAsia="Times New Roman" w:hAnsi="Arial" w:cs="Arial"/>
                <w:color w:val="000000"/>
                <w:sz w:val="20"/>
                <w:szCs w:val="20"/>
                <w:lang w:eastAsia="es-UY"/>
              </w:rPr>
              <w:br/>
              <w:t xml:space="preserve">- medidas de higiene personal y domiciliaria, </w:t>
            </w:r>
            <w:r w:rsidRPr="002C4A1E">
              <w:rPr>
                <w:rFonts w:ascii="Arial" w:eastAsia="Times New Roman" w:hAnsi="Arial" w:cs="Arial"/>
                <w:color w:val="000000"/>
                <w:sz w:val="20"/>
                <w:szCs w:val="20"/>
                <w:lang w:eastAsia="es-UY"/>
              </w:rPr>
              <w:br/>
              <w:t xml:space="preserve">- no manipulación y preparación de alimentos, </w:t>
            </w:r>
            <w:r w:rsidRPr="002C4A1E">
              <w:rPr>
                <w:rFonts w:ascii="Arial" w:eastAsia="Times New Roman" w:hAnsi="Arial" w:cs="Arial"/>
                <w:color w:val="000000"/>
                <w:sz w:val="20"/>
                <w:szCs w:val="20"/>
                <w:lang w:eastAsia="es-UY"/>
              </w:rPr>
              <w:br/>
              <w:t xml:space="preserve">- alta sanitaria después de la realización de tres coprocultivos, con resultado negativo, con intervalo de 30 días entre cada exámen. </w:t>
            </w:r>
            <w:r w:rsidRPr="002C4A1E">
              <w:rPr>
                <w:rFonts w:ascii="Arial" w:eastAsia="Times New Roman" w:hAnsi="Arial" w:cs="Arial"/>
                <w:color w:val="000000"/>
                <w:sz w:val="20"/>
                <w:szCs w:val="20"/>
                <w:lang w:eastAsia="es-UY"/>
              </w:rPr>
              <w:br/>
              <w:t xml:space="preserve">En relación al saneamiento, se recomienda: </w:t>
            </w:r>
            <w:r w:rsidRPr="002C4A1E">
              <w:rPr>
                <w:rFonts w:ascii="Arial" w:eastAsia="Times New Roman" w:hAnsi="Arial" w:cs="Arial"/>
                <w:color w:val="000000"/>
                <w:sz w:val="20"/>
                <w:szCs w:val="20"/>
                <w:lang w:eastAsia="es-UY"/>
              </w:rPr>
              <w:br/>
              <w:t xml:space="preserve">- garantizar agua de buena calidad para consumo humano, </w:t>
            </w:r>
            <w:r w:rsidRPr="002C4A1E">
              <w:rPr>
                <w:rFonts w:ascii="Arial" w:eastAsia="Times New Roman" w:hAnsi="Arial" w:cs="Arial"/>
                <w:color w:val="000000"/>
                <w:sz w:val="20"/>
                <w:szCs w:val="20"/>
                <w:lang w:eastAsia="es-UY"/>
              </w:rPr>
              <w:br/>
              <w:t xml:space="preserve">- garantizar el destino y tratamiento adecuado de desechos y residuos sólidos. </w:t>
            </w:r>
            <w:r w:rsidRPr="002C4A1E">
              <w:rPr>
                <w:rFonts w:ascii="Arial" w:eastAsia="Times New Roman" w:hAnsi="Arial" w:cs="Arial"/>
                <w:color w:val="000000"/>
                <w:sz w:val="20"/>
                <w:szCs w:val="20"/>
                <w:lang w:eastAsia="es-UY"/>
              </w:rPr>
              <w:br/>
              <w:t xml:space="preserve">En relación a los alimentos, se recomienda: </w:t>
            </w:r>
            <w:r w:rsidRPr="002C4A1E">
              <w:rPr>
                <w:rFonts w:ascii="Arial" w:eastAsia="Times New Roman" w:hAnsi="Arial" w:cs="Arial"/>
                <w:color w:val="000000"/>
                <w:sz w:val="20"/>
                <w:szCs w:val="20"/>
                <w:lang w:eastAsia="es-UY"/>
              </w:rPr>
              <w:br/>
              <w:t xml:space="preserve">-cuidados higiénicos en la manipulación y preparación de alimentos.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10. Hepatitis 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compatible clínica y epidemiológicamente con la descripción de la enfermedad. Afección de comienzo en general repentino, con fiebre, malestar general, anorexia, náusea y molestias abdominales, seguidas en pocos días de coloración amarillenta de la piel y mucosas (ictericia). Son frecuentes las formas anictéricas con pocos o ningún síntoma, especialmente en niños.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hepatitis A confirmado por laboratorio por: </w:t>
            </w:r>
            <w:r w:rsidRPr="002C4A1E">
              <w:rPr>
                <w:rFonts w:ascii="Arial" w:eastAsia="Times New Roman" w:hAnsi="Arial" w:cs="Arial"/>
                <w:color w:val="000000"/>
                <w:sz w:val="20"/>
                <w:szCs w:val="20"/>
                <w:lang w:eastAsia="es-UY"/>
              </w:rPr>
              <w:br/>
              <w:t xml:space="preserve">- presencia de anticuerpos IgM contra el virus de la hepatitis A (IgM anti-VHA) en el suero de los enfermos agudos o convalecientes, o- asociación epidemiológica con un 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Sistemas de red de agua potable o adecuado tratamiento de agua para consumo y elaboración de alimentos </w:t>
            </w:r>
            <w:r w:rsidRPr="002C4A1E">
              <w:rPr>
                <w:rFonts w:ascii="Arial" w:eastAsia="Times New Roman" w:hAnsi="Arial" w:cs="Arial"/>
                <w:color w:val="000000"/>
                <w:sz w:val="20"/>
                <w:szCs w:val="20"/>
                <w:lang w:eastAsia="es-UY"/>
              </w:rPr>
              <w:br/>
              <w:t xml:space="preserve">- Sistemas adecuados de eliminación de aguas servidas </w:t>
            </w:r>
            <w:r w:rsidRPr="002C4A1E">
              <w:rPr>
                <w:rFonts w:ascii="Arial" w:eastAsia="Times New Roman" w:hAnsi="Arial" w:cs="Arial"/>
                <w:color w:val="000000"/>
                <w:sz w:val="20"/>
                <w:szCs w:val="20"/>
                <w:lang w:eastAsia="es-UY"/>
              </w:rPr>
              <w:br/>
              <w:t xml:space="preserve">- Educación a la comunidad sobre los riesgos de la enfermedad y la higiene personal, manipulación de alimentos y disposición final de las excretas. </w:t>
            </w:r>
            <w:r w:rsidRPr="002C4A1E">
              <w:rPr>
                <w:rFonts w:ascii="Arial" w:eastAsia="Times New Roman" w:hAnsi="Arial" w:cs="Arial"/>
                <w:color w:val="000000"/>
                <w:sz w:val="20"/>
                <w:szCs w:val="20"/>
                <w:lang w:eastAsia="es-UY"/>
              </w:rPr>
              <w:br/>
              <w:t xml:space="preserve">- Inmunización contra Hepatitis A (no incluída por el momento en los planes de vacunación del MSP) se puede aplicar partir del año de vida con indicaciones de acuerdo al riesgo y susceptibilidad de personas o grupos de personas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Control del paciente y de los contactos: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Precauciones de tipo entérico, particularmente en las dos primeras semanas de la enfermedad. </w:t>
            </w:r>
            <w:r w:rsidRPr="002C4A1E">
              <w:rPr>
                <w:rFonts w:ascii="Arial" w:eastAsia="Times New Roman" w:hAnsi="Arial" w:cs="Arial"/>
                <w:color w:val="000000"/>
                <w:sz w:val="20"/>
                <w:szCs w:val="20"/>
                <w:lang w:eastAsia="es-UY"/>
              </w:rPr>
              <w:br/>
              <w:t xml:space="preserve">- Desinfección concurrente: eliminación sanitaria de las heces, la orina y la sangre. </w:t>
            </w:r>
            <w:r w:rsidRPr="002C4A1E">
              <w:rPr>
                <w:rFonts w:ascii="Arial" w:eastAsia="Times New Roman" w:hAnsi="Arial" w:cs="Arial"/>
                <w:color w:val="000000"/>
                <w:sz w:val="20"/>
                <w:szCs w:val="20"/>
                <w:lang w:eastAsia="es-UY"/>
              </w:rPr>
              <w:br/>
              <w:t xml:space="preserve">- Inmunización pasiva: aplicación de inmunoglobulina a los contactos sólo en aquellos casos que determine la Secc. Enfermedades Transmisibles de la Unidad de Vigilancia Epidemiológica, en el curso de la investigación epidemiológica. </w:t>
            </w:r>
            <w:r w:rsidRPr="002C4A1E">
              <w:rPr>
                <w:rFonts w:ascii="Arial" w:eastAsia="Times New Roman" w:hAnsi="Arial" w:cs="Arial"/>
                <w:color w:val="000000"/>
                <w:sz w:val="20"/>
                <w:szCs w:val="20"/>
                <w:lang w:eastAsia="es-UY"/>
              </w:rPr>
              <w:br/>
              <w:t xml:space="preserve">- Saneamiento adecuado e higiene personal, en particular al lavado de manos y eliminación sanitaria de las heces. </w:t>
            </w:r>
            <w:r w:rsidRPr="002C4A1E">
              <w:rPr>
                <w:rFonts w:ascii="Arial" w:eastAsia="Times New Roman" w:hAnsi="Arial" w:cs="Arial"/>
                <w:color w:val="000000"/>
                <w:sz w:val="20"/>
                <w:szCs w:val="20"/>
                <w:lang w:eastAsia="es-UY"/>
              </w:rPr>
              <w:br/>
              <w:t xml:space="preserve">- Ambiente inmediato: uso de hipoclorito de sodio en limpieza de locales, sanitarios, vajillas, etc. </w:t>
            </w:r>
            <w:r w:rsidRPr="002C4A1E">
              <w:rPr>
                <w:rFonts w:ascii="Arial" w:eastAsia="Times New Roman" w:hAnsi="Arial" w:cs="Arial"/>
                <w:color w:val="000000"/>
                <w:sz w:val="20"/>
                <w:szCs w:val="20"/>
                <w:lang w:eastAsia="es-UY"/>
              </w:rPr>
              <w:br/>
              <w:t xml:space="preserve">- Investigación y control de la fuente de infección si corresponde.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11. Hepatitis B, C y otras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compatible por clínica y epidemiológicamente con la descripción de la enfermedad. Afección de comienzo insidioso (o agudo en el caso de la Hepatitis D), con anorexia, molestias abdominales vagas, náuseas y vómitos, fiebre leve o ausente, e ictericia. La ictericia es menos frecuente en los casos de Hepatitis C. </w:t>
            </w:r>
            <w:r w:rsidRPr="002C4A1E">
              <w:rPr>
                <w:rFonts w:ascii="Arial" w:eastAsia="Times New Roman" w:hAnsi="Arial" w:cs="Arial"/>
                <w:color w:val="000000"/>
                <w:sz w:val="20"/>
                <w:szCs w:val="20"/>
                <w:lang w:eastAsia="es-UY"/>
              </w:rPr>
              <w:br/>
              <w:t xml:space="preserve">Pueden existir presentaciones clínicas leves y asintomáticas (detectables por pruebas de la función hepática), hasta casos fulminantes con necrosis hepática aguda.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Caso probable confirmado por laboratorio como Hepatitis B: por determinación de anti-HBs y anti-HbcIgM en la etapa aguda, en la forma crónica por determinación de HBsAg y ausencia de anti-HbcIgM. </w:t>
            </w:r>
            <w:r w:rsidRPr="002C4A1E">
              <w:rPr>
                <w:rFonts w:ascii="Arial" w:eastAsia="Times New Roman" w:hAnsi="Arial" w:cs="Arial"/>
                <w:color w:val="000000"/>
                <w:sz w:val="20"/>
                <w:szCs w:val="20"/>
                <w:lang w:eastAsia="es-UY"/>
              </w:rPr>
              <w:br/>
              <w:t xml:space="preserve">- Caso probable confirmado por laboratorio como Hepatitis C: por determinación de anticuerpo en suero, contra el virus de la hepatitis C (anti-VHC) </w:t>
            </w:r>
            <w:r w:rsidRPr="002C4A1E">
              <w:rPr>
                <w:rFonts w:ascii="Arial" w:eastAsia="Times New Roman" w:hAnsi="Arial" w:cs="Arial"/>
                <w:color w:val="000000"/>
                <w:sz w:val="20"/>
                <w:szCs w:val="20"/>
                <w:lang w:eastAsia="es-UY"/>
              </w:rPr>
              <w:br/>
              <w:t xml:space="preserve">- Caso probable confirmado por laboratorio como Hepatitis D: por determinación de anticuerpo contra el virus de la hepatitis D (anti-VHD), o IgM anti-VHD, antígeno delta y ARN viral.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 inmunización contra el virus de la Hepatitis B a niños menores de un año integra el esquema básico del Programa Ampliado de Inmunizaciones del MSP (vacuna pentavalente) e inmunización a adolescentes con vacuna Hepatitis B. </w:t>
            </w:r>
            <w:r w:rsidRPr="002C4A1E">
              <w:rPr>
                <w:rFonts w:ascii="Arial" w:eastAsia="Times New Roman" w:hAnsi="Arial" w:cs="Arial"/>
                <w:color w:val="000000"/>
                <w:sz w:val="20"/>
                <w:szCs w:val="20"/>
                <w:lang w:eastAsia="es-UY"/>
              </w:rPr>
              <w:br/>
              <w:t xml:space="preserve">Medidas de educación a la comunidad sobre los riesgos de la transmisión de estas enfermedades, especialmente en relación con la transmisión sexual, por transfusión, por el uso de agujas y jeringas no estériles u otros procedimientos en condiciones riesgo. </w:t>
            </w:r>
            <w:r w:rsidRPr="002C4A1E">
              <w:rPr>
                <w:rFonts w:ascii="Arial" w:eastAsia="Times New Roman" w:hAnsi="Arial" w:cs="Arial"/>
                <w:color w:val="000000"/>
                <w:sz w:val="20"/>
                <w:szCs w:val="20"/>
                <w:lang w:eastAsia="es-UY"/>
              </w:rPr>
              <w:br/>
              <w:t xml:space="preserve">Aplicación de vacuna contra Hepatitis B (1ª dosis junto con inmunoglobulina específica anti-hepatitis B) de todo recién nacido hijo de madre HBsAg positiva en las primeras 12 horas del nacimiento. </w:t>
            </w:r>
            <w:r w:rsidRPr="002C4A1E">
              <w:rPr>
                <w:rFonts w:ascii="Arial" w:eastAsia="Times New Roman" w:hAnsi="Arial" w:cs="Arial"/>
                <w:color w:val="000000"/>
                <w:sz w:val="20"/>
                <w:szCs w:val="20"/>
                <w:lang w:eastAsia="es-UY"/>
              </w:rPr>
              <w:br/>
              <w:t xml:space="preserve">Utilización exclusiva de material descartable (jeringas, agujas, etc.) </w:t>
            </w:r>
            <w:r w:rsidRPr="002C4A1E">
              <w:rPr>
                <w:rFonts w:ascii="Arial" w:eastAsia="Times New Roman" w:hAnsi="Arial" w:cs="Arial"/>
                <w:color w:val="000000"/>
                <w:sz w:val="20"/>
                <w:szCs w:val="20"/>
                <w:lang w:eastAsia="es-UY"/>
              </w:rPr>
              <w:br/>
              <w:t xml:space="preserve">Control de donantes de sangre, órganos, tejidos y semen.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Control del caso y los contactos: </w:t>
            </w:r>
            <w:r w:rsidRPr="002C4A1E">
              <w:rPr>
                <w:rFonts w:ascii="Arial" w:eastAsia="Times New Roman" w:hAnsi="Arial" w:cs="Arial"/>
                <w:color w:val="000000"/>
                <w:sz w:val="20"/>
                <w:szCs w:val="20"/>
                <w:lang w:eastAsia="es-UY"/>
              </w:rPr>
              <w:br/>
              <w:t xml:space="preserve">- Precauciones universales para evitar exposición a sangre y líquidos corporales. </w:t>
            </w:r>
            <w:r w:rsidRPr="002C4A1E">
              <w:rPr>
                <w:rFonts w:ascii="Arial" w:eastAsia="Times New Roman" w:hAnsi="Arial" w:cs="Arial"/>
                <w:color w:val="000000"/>
                <w:sz w:val="20"/>
                <w:szCs w:val="20"/>
                <w:lang w:eastAsia="es-UY"/>
              </w:rPr>
              <w:br/>
              <w:t xml:space="preserve">- Desinfección concurrente del equipo contaminado con sangre o líquidos corporales infectantes </w:t>
            </w:r>
            <w:r w:rsidRPr="002C4A1E">
              <w:rPr>
                <w:rFonts w:ascii="Arial" w:eastAsia="Times New Roman" w:hAnsi="Arial" w:cs="Arial"/>
                <w:color w:val="000000"/>
                <w:sz w:val="20"/>
                <w:szCs w:val="20"/>
                <w:lang w:eastAsia="es-UY"/>
              </w:rPr>
              <w:br/>
              <w:t xml:space="preserve">- Personas no inmunizadas que sufren un accidente con exposición a sangre de una fuente positiva, deben recibir dentro de la primeras 24 horas de la exposición, inmunoglobulina </w:t>
            </w:r>
            <w:r w:rsidRPr="002C4A1E">
              <w:rPr>
                <w:rFonts w:ascii="Arial" w:eastAsia="Times New Roman" w:hAnsi="Arial" w:cs="Arial"/>
                <w:color w:val="000000"/>
                <w:sz w:val="20"/>
                <w:szCs w:val="20"/>
                <w:lang w:eastAsia="es-UY"/>
              </w:rPr>
              <w:lastRenderedPageBreak/>
              <w:t xml:space="preserve">específica anti-hepatitis B y 1ª dosis de vacuna anti- hepatitis B que se completará en los plazos correspondientes.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Contactos familiares de paciente con Hepatitis B: </w:t>
            </w:r>
            <w:r w:rsidRPr="002C4A1E">
              <w:rPr>
                <w:rFonts w:ascii="Arial" w:eastAsia="Times New Roman" w:hAnsi="Arial" w:cs="Arial"/>
                <w:color w:val="000000"/>
                <w:sz w:val="20"/>
                <w:szCs w:val="20"/>
                <w:lang w:eastAsia="es-UY"/>
              </w:rPr>
              <w:br/>
              <w:t xml:space="preserve">- menores de 12 meses no vacunados: inmunoglobulina específica anti-hepatitis B e iniciar la vacunación. </w:t>
            </w:r>
            <w:r w:rsidRPr="002C4A1E">
              <w:rPr>
                <w:rFonts w:ascii="Arial" w:eastAsia="Times New Roman" w:hAnsi="Arial" w:cs="Arial"/>
                <w:color w:val="000000"/>
                <w:sz w:val="20"/>
                <w:szCs w:val="20"/>
                <w:lang w:eastAsia="es-UY"/>
              </w:rPr>
              <w:br/>
              <w:t xml:space="preserve">- Vacunación de niños de un año o más no inmunizados. </w:t>
            </w:r>
            <w:r w:rsidRPr="002C4A1E">
              <w:rPr>
                <w:rFonts w:ascii="Arial" w:eastAsia="Times New Roman" w:hAnsi="Arial" w:cs="Arial"/>
                <w:color w:val="000000"/>
                <w:sz w:val="20"/>
                <w:szCs w:val="20"/>
                <w:lang w:eastAsia="es-UY"/>
              </w:rPr>
              <w:br/>
              <w:t xml:space="preserve">- Vacunación de contactos sexuales del paciente o portador. </w:t>
            </w:r>
            <w:r w:rsidRPr="002C4A1E">
              <w:rPr>
                <w:rFonts w:ascii="Arial" w:eastAsia="Times New Roman" w:hAnsi="Arial" w:cs="Arial"/>
                <w:color w:val="000000"/>
                <w:sz w:val="20"/>
                <w:szCs w:val="20"/>
                <w:lang w:eastAsia="es-UY"/>
              </w:rPr>
              <w:br/>
              <w:t xml:space="preserve">- Vigilancia e investigación epidemiológica de los casos de hepatitis postransfusional para aplicar medidas de control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12. Hidatidosis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Debe sospecharse un caso de Hidatidosis frente al hallazgo de elementos quísticos (únicos ó múltiples) localizados en hígado, pulmón u otros órganos. </w:t>
            </w:r>
            <w:r w:rsidRPr="002C4A1E">
              <w:rPr>
                <w:rFonts w:ascii="Arial" w:eastAsia="Times New Roman" w:hAnsi="Arial" w:cs="Arial"/>
                <w:color w:val="000000"/>
                <w:sz w:val="20"/>
                <w:szCs w:val="20"/>
                <w:lang w:eastAsia="es-UY"/>
              </w:rPr>
              <w:br/>
              <w:t xml:space="preserve">Aunque la vinculación del caso con aspectos epidemiológicos (áreas endémicas, trabajador rural, etc.) </w:t>
            </w:r>
            <w:proofErr w:type="gramStart"/>
            <w:r w:rsidRPr="002C4A1E">
              <w:rPr>
                <w:rFonts w:ascii="Arial" w:eastAsia="Times New Roman" w:hAnsi="Arial" w:cs="Arial"/>
                <w:color w:val="000000"/>
                <w:sz w:val="20"/>
                <w:szCs w:val="20"/>
                <w:lang w:eastAsia="es-UY"/>
              </w:rPr>
              <w:t>deben</w:t>
            </w:r>
            <w:proofErr w:type="gramEnd"/>
            <w:r w:rsidRPr="002C4A1E">
              <w:rPr>
                <w:rFonts w:ascii="Arial" w:eastAsia="Times New Roman" w:hAnsi="Arial" w:cs="Arial"/>
                <w:color w:val="000000"/>
                <w:sz w:val="20"/>
                <w:szCs w:val="20"/>
                <w:lang w:eastAsia="es-UY"/>
              </w:rPr>
              <w:t xml:space="preserve"> tomarse en cuenta cuando existen, su ausencia no excluye la sospecha diagnóstica.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Hidatidosis confirmado por: </w:t>
            </w:r>
            <w:r w:rsidRPr="002C4A1E">
              <w:rPr>
                <w:rFonts w:ascii="Arial" w:eastAsia="Times New Roman" w:hAnsi="Arial" w:cs="Arial"/>
                <w:color w:val="000000"/>
                <w:sz w:val="20"/>
                <w:szCs w:val="20"/>
                <w:lang w:eastAsia="es-UY"/>
              </w:rPr>
              <w:br/>
              <w:t xml:space="preserve">- Serología: prueba de alta sensibilidad (ELISA o HAI) y confirmación con prueba de alta especificidad (DD5) </w:t>
            </w:r>
            <w:r w:rsidRPr="002C4A1E">
              <w:rPr>
                <w:rFonts w:ascii="Arial" w:eastAsia="Times New Roman" w:hAnsi="Arial" w:cs="Arial"/>
                <w:color w:val="000000"/>
                <w:sz w:val="20"/>
                <w:szCs w:val="20"/>
                <w:lang w:eastAsia="es-UY"/>
              </w:rPr>
              <w:br/>
              <w:t xml:space="preserve">- Visualización de escolex eliminado a partir de un quiste o quiste fistulizado al exterior. </w:t>
            </w:r>
            <w:r w:rsidRPr="002C4A1E">
              <w:rPr>
                <w:rFonts w:ascii="Arial" w:eastAsia="Times New Roman" w:hAnsi="Arial" w:cs="Arial"/>
                <w:color w:val="000000"/>
                <w:sz w:val="20"/>
                <w:szCs w:val="20"/>
                <w:lang w:eastAsia="es-UY"/>
              </w:rPr>
              <w:br/>
              <w:t xml:space="preserve">- Confirmación post-quirúrgica por radiografía, ecografía o tomografía.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Controles serológicos y/o ecográficos periódicos de poblaciones expuestas para la detección precoz de casos asintomáticos. </w:t>
            </w:r>
            <w:r w:rsidRPr="002C4A1E">
              <w:rPr>
                <w:rFonts w:ascii="Arial" w:eastAsia="Times New Roman" w:hAnsi="Arial" w:cs="Arial"/>
                <w:color w:val="000000"/>
                <w:sz w:val="20"/>
                <w:szCs w:val="20"/>
                <w:lang w:eastAsia="es-UY"/>
              </w:rPr>
              <w:br/>
              <w:t xml:space="preserve">Educación e información a la comunidad sobre los riesgos y las medidas de prevención a nivel individual (medidas higiénicas personales y de los alimentos, evitar la convivencia y el contacto con los perros enfermos, etc.) y colectivo (interrupción del ciclo de transmisión evitando que los perros consuman vísceras crudas de animales faenados o muertos en el campo).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13. Lepra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paciente que presente una o más manchas cutáneas con definidos transtornos de la sensibilidad.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Lepra con confirmación bacteeriológica o histológica y que no ha completado el tratamiento específico poliquimioterápico correspondiente.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Asegurar la regularidad del tratamiento de los pacientes.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Control de los contactos intradomiciliarios y comunitarios de riesgo, mediante examen clínico dermatológico periódico </w:t>
            </w:r>
            <w:r w:rsidRPr="002C4A1E">
              <w:rPr>
                <w:rFonts w:ascii="Arial" w:eastAsia="Times New Roman" w:hAnsi="Arial" w:cs="Arial"/>
                <w:color w:val="000000"/>
                <w:sz w:val="20"/>
                <w:szCs w:val="20"/>
                <w:lang w:eastAsia="es-UY"/>
              </w:rPr>
              <w:br/>
              <w:t xml:space="preserve">- Educación sanitaria del paciente y personas convivientes.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14. Leptospirosis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Todo caso humano notificado como leptospirosis, hasta demostración de lo contrario por los resultados de la correspondiente investigación epidemiológica. </w:t>
            </w:r>
            <w:r w:rsidRPr="002C4A1E">
              <w:rPr>
                <w:rFonts w:ascii="Arial" w:eastAsia="Times New Roman" w:hAnsi="Arial" w:cs="Arial"/>
                <w:color w:val="000000"/>
                <w:sz w:val="20"/>
                <w:szCs w:val="20"/>
                <w:lang w:eastAsia="es-UY"/>
              </w:rPr>
              <w:br/>
              <w:t xml:space="preserve">- Toda persona con signos y síntomas sugestivos de la enfermedad: cuadro febril agudo de instalación brusca, severo malestar general acompañado de fuertes mialgias (principalmente de miembros </w:t>
            </w:r>
            <w:proofErr w:type="gramStart"/>
            <w:r w:rsidRPr="002C4A1E">
              <w:rPr>
                <w:rFonts w:ascii="Arial" w:eastAsia="Times New Roman" w:hAnsi="Arial" w:cs="Arial"/>
                <w:color w:val="000000"/>
                <w:sz w:val="20"/>
                <w:szCs w:val="20"/>
                <w:lang w:eastAsia="es-UY"/>
              </w:rPr>
              <w:t>inferiores )</w:t>
            </w:r>
            <w:proofErr w:type="gramEnd"/>
            <w:r w:rsidRPr="002C4A1E">
              <w:rPr>
                <w:rFonts w:ascii="Arial" w:eastAsia="Times New Roman" w:hAnsi="Arial" w:cs="Arial"/>
                <w:color w:val="000000"/>
                <w:sz w:val="20"/>
                <w:szCs w:val="20"/>
                <w:lang w:eastAsia="es-UY"/>
              </w:rPr>
              <w:t xml:space="preserve">, cefaleas, congestión conjuntival (“ojo rojo”) y menos frecuentemente trastornos digestivos, rash, ictericia, elementos de insuficiencia renal y fenómenos hemorrágicos, acompañados de antecedentes epidemiológicos compatibles. </w:t>
            </w:r>
            <w:r w:rsidRPr="002C4A1E">
              <w:rPr>
                <w:rFonts w:ascii="Arial" w:eastAsia="Times New Roman" w:hAnsi="Arial" w:cs="Arial"/>
                <w:color w:val="000000"/>
                <w:sz w:val="20"/>
                <w:szCs w:val="20"/>
                <w:lang w:eastAsia="es-UY"/>
              </w:rPr>
              <w:br/>
              <w:t xml:space="preserve">- Toda persona que presente signos y síntomas de proceso infeccioso inespecífico, con antecedentes epidemiológicos sugestivos.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Por criterio laboratorial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caso sospechoso confirmado por una o más de las siguientes pruebas de laboratorio: </w:t>
            </w:r>
            <w:r w:rsidRPr="002C4A1E">
              <w:rPr>
                <w:rFonts w:ascii="Arial" w:eastAsia="Times New Roman" w:hAnsi="Arial" w:cs="Arial"/>
                <w:color w:val="000000"/>
                <w:sz w:val="20"/>
                <w:szCs w:val="20"/>
                <w:lang w:eastAsia="es-UY"/>
              </w:rPr>
              <w:br/>
              <w:t xml:space="preserve">- Aislamiento de leptospiras patógenas durante la fase aguda de la enfermedad, obtenidas por cultivo de sangre (en los primeros 7 días) o del líquido cefaloraquídeo (del cuarto al décimo día) y de la orina después del décimo día. </w:t>
            </w:r>
            <w:r w:rsidRPr="002C4A1E">
              <w:rPr>
                <w:rFonts w:ascii="Arial" w:eastAsia="Times New Roman" w:hAnsi="Arial" w:cs="Arial"/>
                <w:color w:val="000000"/>
                <w:sz w:val="20"/>
                <w:szCs w:val="20"/>
                <w:lang w:eastAsia="es-UY"/>
              </w:rPr>
              <w:br/>
              <w:t xml:space="preserve">- Serología positiva mediante la prueba de aglutinación microscópica (MAT), con aumento de 4 veces o más de los títulos entre la fase aguda y convalesciente, con intervalo de 2 semanas o más entre las 2 muestras y estudiadas en el mismo laboratorio. </w:t>
            </w:r>
            <w:r w:rsidRPr="002C4A1E">
              <w:rPr>
                <w:rFonts w:ascii="Arial" w:eastAsia="Times New Roman" w:hAnsi="Arial" w:cs="Arial"/>
                <w:color w:val="000000"/>
                <w:sz w:val="20"/>
                <w:szCs w:val="20"/>
                <w:lang w:eastAsia="es-UY"/>
              </w:rPr>
              <w:br/>
              <w:t xml:space="preserve">- En caso de disponer de una única muestra, un título serológico igual o superior a 1/800 en la MAT, confirma el diagnóstico. Los títulos comprendidos entre 1/50 y 1/800 deben ser interpretados en el marco de la situación clínicoepidemiológica del paciente.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Por criterio clínico-epidemiológico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Todo caso sospechoso con clara evidencia de asociación epidemiológica.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Area rural: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Protección individual de los trabajadores mediante el uso de calzado y vestimentas apropiadas (botas, delantal, guantes, antiparras, tapaboca) según la tarea que desempeñen. </w:t>
            </w:r>
            <w:r w:rsidRPr="002C4A1E">
              <w:rPr>
                <w:rFonts w:ascii="Arial" w:eastAsia="Times New Roman" w:hAnsi="Arial" w:cs="Arial"/>
                <w:color w:val="000000"/>
                <w:sz w:val="20"/>
                <w:szCs w:val="20"/>
                <w:lang w:eastAsia="es-UY"/>
              </w:rPr>
              <w:br/>
              <w:t xml:space="preserve">- Higiene personal y del ambiente doméstico, impedir el ingreso de animales al interior de los domicilios así como a los galpones de producción o almacenamiento de alimentos. </w:t>
            </w:r>
            <w:r w:rsidRPr="002C4A1E">
              <w:rPr>
                <w:rFonts w:ascii="Arial" w:eastAsia="Times New Roman" w:hAnsi="Arial" w:cs="Arial"/>
                <w:color w:val="000000"/>
                <w:sz w:val="20"/>
                <w:szCs w:val="20"/>
                <w:lang w:eastAsia="es-UY"/>
              </w:rPr>
              <w:br/>
              <w:t xml:space="preserve">- Higiene y desinfección en los locales de ordeñe así como de las máquinas o instrumentos utilizados. </w:t>
            </w:r>
            <w:r w:rsidRPr="002C4A1E">
              <w:rPr>
                <w:rFonts w:ascii="Arial" w:eastAsia="Times New Roman" w:hAnsi="Arial" w:cs="Arial"/>
                <w:color w:val="000000"/>
                <w:sz w:val="20"/>
                <w:szCs w:val="20"/>
                <w:lang w:eastAsia="es-UY"/>
              </w:rPr>
              <w:br/>
              <w:t xml:space="preserve">- Drenaje o relleno de terrenos bajos o fácilmente inundables </w:t>
            </w:r>
            <w:r w:rsidRPr="002C4A1E">
              <w:rPr>
                <w:rFonts w:ascii="Arial" w:eastAsia="Times New Roman" w:hAnsi="Arial" w:cs="Arial"/>
                <w:color w:val="000000"/>
                <w:sz w:val="20"/>
                <w:szCs w:val="20"/>
                <w:lang w:eastAsia="es-UY"/>
              </w:rPr>
              <w:br/>
              <w:t xml:space="preserve">- Evitar nadar en cursos de agua que puedan estar contaminadas o utilizar la misma para consumo o uso doméstico. </w:t>
            </w:r>
            <w:r w:rsidRPr="002C4A1E">
              <w:rPr>
                <w:rFonts w:ascii="Arial" w:eastAsia="Times New Roman" w:hAnsi="Arial" w:cs="Arial"/>
                <w:color w:val="000000"/>
                <w:sz w:val="20"/>
                <w:szCs w:val="20"/>
                <w:lang w:eastAsia="es-UY"/>
              </w:rPr>
              <w:br/>
              <w:t xml:space="preserve">- Control de roedores tanto de las especies sinantrópicas como de las silvestres. </w:t>
            </w:r>
            <w:r w:rsidRPr="002C4A1E">
              <w:rPr>
                <w:rFonts w:ascii="Arial" w:eastAsia="Times New Roman" w:hAnsi="Arial" w:cs="Arial"/>
                <w:color w:val="000000"/>
                <w:sz w:val="20"/>
                <w:szCs w:val="20"/>
                <w:lang w:eastAsia="es-UY"/>
              </w:rPr>
              <w:br/>
              <w:t xml:space="preserve">- Evitar el acceso de los roedores a los alimentos, agua y abrigo. </w:t>
            </w:r>
            <w:r w:rsidRPr="002C4A1E">
              <w:rPr>
                <w:rFonts w:ascii="Arial" w:eastAsia="Times New Roman" w:hAnsi="Arial" w:cs="Arial"/>
                <w:color w:val="000000"/>
                <w:sz w:val="20"/>
                <w:szCs w:val="20"/>
                <w:lang w:eastAsia="es-UY"/>
              </w:rPr>
              <w:br/>
              <w:t xml:space="preserve">- La indicación de la vacuna humana es limitada. </w:t>
            </w:r>
            <w:r w:rsidRPr="002C4A1E">
              <w:rPr>
                <w:rFonts w:ascii="Arial" w:eastAsia="Times New Roman" w:hAnsi="Arial" w:cs="Arial"/>
                <w:color w:val="000000"/>
                <w:sz w:val="20"/>
                <w:szCs w:val="20"/>
                <w:lang w:eastAsia="es-UY"/>
              </w:rPr>
              <w:br/>
              <w:t xml:space="preserve">- La antibioticoprofilaxia no está indicada en la población en general.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Educación y difusión a las poblaciones de riesgo.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Area urbana: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Acciones permanentes para control de roedores. </w:t>
            </w:r>
            <w:r w:rsidRPr="002C4A1E">
              <w:rPr>
                <w:rFonts w:ascii="Arial" w:eastAsia="Times New Roman" w:hAnsi="Arial" w:cs="Arial"/>
                <w:color w:val="000000"/>
                <w:sz w:val="20"/>
                <w:szCs w:val="20"/>
                <w:lang w:eastAsia="es-UY"/>
              </w:rPr>
              <w:br/>
              <w:t xml:space="preserve">- Disposición, colecta y eliminación de los residuos (recipientes apropiados, colecta permanente y coordinada con la población, relleno sanitario correcto y en condiciones). </w:t>
            </w:r>
            <w:r w:rsidRPr="002C4A1E">
              <w:rPr>
                <w:rFonts w:ascii="Arial" w:eastAsia="Times New Roman" w:hAnsi="Arial" w:cs="Arial"/>
                <w:color w:val="000000"/>
                <w:sz w:val="20"/>
                <w:szCs w:val="20"/>
                <w:lang w:eastAsia="es-UY"/>
              </w:rPr>
              <w:br/>
              <w:t xml:space="preserve">- Drenaje, canalizaciones, de cursos o espejos de agua que tiendan a provocar inundaciones o que representen posibles focos de esta enfermedad. </w:t>
            </w:r>
            <w:r w:rsidRPr="002C4A1E">
              <w:rPr>
                <w:rFonts w:ascii="Arial" w:eastAsia="Times New Roman" w:hAnsi="Arial" w:cs="Arial"/>
                <w:color w:val="000000"/>
                <w:sz w:val="20"/>
                <w:szCs w:val="20"/>
                <w:lang w:eastAsia="es-UY"/>
              </w:rPr>
              <w:br/>
              <w:t xml:space="preserve">- Abastecimiento de agua por cañería. </w:t>
            </w:r>
            <w:r w:rsidRPr="002C4A1E">
              <w:rPr>
                <w:rFonts w:ascii="Arial" w:eastAsia="Times New Roman" w:hAnsi="Arial" w:cs="Arial"/>
                <w:color w:val="000000"/>
                <w:sz w:val="20"/>
                <w:szCs w:val="20"/>
                <w:lang w:eastAsia="es-UY"/>
              </w:rPr>
              <w:br/>
              <w:t xml:space="preserve">- Adecuada eliminación de </w:t>
            </w:r>
            <w:proofErr w:type="gramStart"/>
            <w:r w:rsidRPr="002C4A1E">
              <w:rPr>
                <w:rFonts w:ascii="Arial" w:eastAsia="Times New Roman" w:hAnsi="Arial" w:cs="Arial"/>
                <w:color w:val="000000"/>
                <w:sz w:val="20"/>
                <w:szCs w:val="20"/>
                <w:lang w:eastAsia="es-UY"/>
              </w:rPr>
              <w:t>residuos líquido</w:t>
            </w:r>
            <w:proofErr w:type="gramEnd"/>
            <w:r w:rsidRPr="002C4A1E">
              <w:rPr>
                <w:rFonts w:ascii="Arial" w:eastAsia="Times New Roman" w:hAnsi="Arial" w:cs="Arial"/>
                <w:color w:val="000000"/>
                <w:sz w:val="20"/>
                <w:szCs w:val="20"/>
                <w:lang w:eastAsia="es-UY"/>
              </w:rPr>
              <w:t xml:space="preserve"> y aguas pluviales. </w:t>
            </w:r>
            <w:r w:rsidRPr="002C4A1E">
              <w:rPr>
                <w:rFonts w:ascii="Arial" w:eastAsia="Times New Roman" w:hAnsi="Arial" w:cs="Arial"/>
                <w:color w:val="000000"/>
                <w:sz w:val="20"/>
                <w:szCs w:val="20"/>
                <w:lang w:eastAsia="es-UY"/>
              </w:rPr>
              <w:br/>
              <w:t xml:space="preserve">- Limpieza y desinfección de los domicilios que se inundan con solución de hipoclorito. </w:t>
            </w:r>
            <w:r w:rsidRPr="002C4A1E">
              <w:rPr>
                <w:rFonts w:ascii="Arial" w:eastAsia="Times New Roman" w:hAnsi="Arial" w:cs="Arial"/>
                <w:color w:val="000000"/>
                <w:sz w:val="20"/>
                <w:szCs w:val="20"/>
                <w:lang w:eastAsia="es-UY"/>
              </w:rPr>
              <w:br/>
              <w:t xml:space="preserve">- Vacunación de la población canina. Ante la presencia de un animal de compañía con diagnóstico de leptospirosis, no corresponde la adopción de medidas diagnósticas, terapéuticas ni profilácticas del núcleo familiar. Se recomienda la consulta médica frente a la aparición de un cuadro clínico sospechoso. </w:t>
            </w:r>
            <w:r w:rsidRPr="002C4A1E">
              <w:rPr>
                <w:rFonts w:ascii="Arial" w:eastAsia="Times New Roman" w:hAnsi="Arial" w:cs="Arial"/>
                <w:color w:val="000000"/>
                <w:sz w:val="20"/>
                <w:szCs w:val="20"/>
                <w:lang w:eastAsia="es-UY"/>
              </w:rPr>
              <w:br/>
              <w:t xml:space="preserve">- Vigilancia epidemiológica de las poblaciones consideradas de mayor riesgo como son los recolectores de basura, sanitarios, médicos veterinarios, controladores de plagas, etc. </w:t>
            </w:r>
            <w:r w:rsidRPr="002C4A1E">
              <w:rPr>
                <w:rFonts w:ascii="Arial" w:eastAsia="Times New Roman" w:hAnsi="Arial" w:cs="Arial"/>
                <w:color w:val="000000"/>
                <w:sz w:val="20"/>
                <w:szCs w:val="20"/>
                <w:lang w:eastAsia="es-UY"/>
              </w:rPr>
              <w:br/>
              <w:t xml:space="preserve">- Educación y difusión a la población sobre las posibles formas de adquirir la enfermedad y como evitarla.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15. Malaria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individuo que presenta un cuadro febril y que reside o procede de área donde haya transmisión de Malaria o que haya recibido transfusión sanguínea en zonas endémicas, en período de 8 a 30 días antes del inicio de los síntomas.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que tenga detección de plasmodio en frotis de sangre (Gota gruesa).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Tratamiento inmediato de casos diagnosticados </w:t>
            </w:r>
            <w:r w:rsidRPr="002C4A1E">
              <w:rPr>
                <w:rFonts w:ascii="Arial" w:eastAsia="Times New Roman" w:hAnsi="Arial" w:cs="Arial"/>
                <w:color w:val="000000"/>
                <w:sz w:val="20"/>
                <w:szCs w:val="20"/>
                <w:lang w:eastAsia="es-UY"/>
              </w:rPr>
              <w:br/>
              <w:t xml:space="preserve">- Orientación a la población en cuanto a la enfermedad, uso de repelentes, tejidos mosquiteros en puertas y ventanas, ropas protectoras, tules impregnados que viajen a zonas endémicas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16. Notificación negativa semanal de:</w:t>
            </w:r>
            <w:r w:rsidRPr="002C4A1E">
              <w:rPr>
                <w:rFonts w:ascii="Arial" w:eastAsia="Times New Roman" w:hAnsi="Arial" w:cs="Arial"/>
                <w:b/>
                <w:bCs/>
                <w:color w:val="000000"/>
                <w:sz w:val="20"/>
                <w:szCs w:val="20"/>
                <w:lang w:eastAsia="es-UY"/>
              </w:rPr>
              <w:br/>
              <w:t xml:space="preserve">a. Enfermedad eruptiva febril </w:t>
            </w:r>
            <w:r w:rsidRPr="002C4A1E">
              <w:rPr>
                <w:rFonts w:ascii="Arial" w:eastAsia="Times New Roman" w:hAnsi="Arial" w:cs="Arial"/>
                <w:b/>
                <w:bCs/>
                <w:color w:val="000000"/>
                <w:sz w:val="20"/>
                <w:szCs w:val="20"/>
                <w:lang w:eastAsia="es-UY"/>
              </w:rPr>
              <w:br/>
              <w:t>b. Parálisis fláccida aguda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El Departamento de Epidemiología del MSP determinará aquellos servicios asistenciales que deberán notificar en forma semanal la ausencia de casos de estas enfermedades ausentes del país y la región, las cuales están incluídas en planes específicos de erradicación o eliminación internacional.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17. Paperas</w:t>
            </w:r>
            <w:r w:rsidRPr="002C4A1E">
              <w:rPr>
                <w:rFonts w:ascii="Arial" w:eastAsia="Times New Roman" w:hAnsi="Arial" w:cs="Arial"/>
                <w:b/>
                <w:bCs/>
                <w:color w:val="000000"/>
                <w:sz w:val="20"/>
                <w:szCs w:val="20"/>
                <w:lang w:eastAsia="es-UY"/>
              </w:rPr>
              <w:br/>
              <w:t>Parotiditis infecciosa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Enfermedad infecciosa de comienzo agudo que presenta tumefacción uni o bilateral, por lo general autolimitada a la glándula parótida y en ocasiones afecta a sublinguales o submaxilares, con una duración de 2 días o más y sin otra causa aparente.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Paperas confirmado por el laboratorio por aislamiento del virus de la parotiditis de una muestra clínica o por anticuerpos IgM de parotiditis. </w:t>
            </w:r>
            <w:r w:rsidRPr="002C4A1E">
              <w:rPr>
                <w:rFonts w:ascii="Arial" w:eastAsia="Times New Roman" w:hAnsi="Arial" w:cs="Arial"/>
                <w:color w:val="000000"/>
                <w:sz w:val="20"/>
                <w:szCs w:val="20"/>
                <w:lang w:eastAsia="es-UY"/>
              </w:rPr>
              <w:br/>
              <w:t xml:space="preserve">Caso sospechoso de Paperas confirmado por relación epidemiológica con otro 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 inmunización contra el virus de la Parotiditis infecciosa integra el esquema básico del Programa Ampliado de Inmunizaciones del MSP (vacuna pentavalente). </w:t>
            </w:r>
            <w:r w:rsidRPr="002C4A1E">
              <w:rPr>
                <w:rFonts w:ascii="Arial" w:eastAsia="Times New Roman" w:hAnsi="Arial" w:cs="Arial"/>
                <w:color w:val="000000"/>
                <w:sz w:val="20"/>
                <w:szCs w:val="20"/>
                <w:lang w:eastAsia="es-UY"/>
              </w:rPr>
              <w:br/>
              <w:t xml:space="preserve">Control del paciente y los contactos </w:t>
            </w:r>
            <w:r w:rsidRPr="002C4A1E">
              <w:rPr>
                <w:rFonts w:ascii="Arial" w:eastAsia="Times New Roman" w:hAnsi="Arial" w:cs="Arial"/>
                <w:color w:val="000000"/>
                <w:sz w:val="20"/>
                <w:szCs w:val="20"/>
                <w:lang w:eastAsia="es-UY"/>
              </w:rPr>
              <w:br/>
              <w:t xml:space="preserve">- Excluir al enfermo de la escuela o lugar de trabajo durante los primeros 9 días desde el comienzo de la enfermedad. </w:t>
            </w:r>
            <w:r w:rsidRPr="002C4A1E">
              <w:rPr>
                <w:rFonts w:ascii="Arial" w:eastAsia="Times New Roman" w:hAnsi="Arial" w:cs="Arial"/>
                <w:color w:val="000000"/>
                <w:sz w:val="20"/>
                <w:szCs w:val="20"/>
                <w:lang w:eastAsia="es-UY"/>
              </w:rPr>
              <w:br/>
              <w:t xml:space="preserve">- Realizar desinfección concurrente de objetos contaminados con secreciones faríngeas. </w:t>
            </w:r>
            <w:r w:rsidRPr="002C4A1E">
              <w:rPr>
                <w:rFonts w:ascii="Arial" w:eastAsia="Times New Roman" w:hAnsi="Arial" w:cs="Arial"/>
                <w:color w:val="000000"/>
                <w:sz w:val="20"/>
                <w:szCs w:val="20"/>
                <w:lang w:eastAsia="es-UY"/>
              </w:rPr>
              <w:br/>
              <w:t xml:space="preserve">- La inmunización después de la exposición a la enfermedad puede no proteger a los contactos. No se recomienda el uso de inmunoglobulina humana.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18. Riesgo nutricional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de caso: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Todo recién nacido, niño o adolescente, embarazada o madre en período de lactancia en la cual se compruebe la existencia de factores de riesgo nutricional de acuerdo a las pautas establecidas por el MSP (División Salud de la Población)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 acuerdo a las circunstancias, edad y características se aplicarán diversas medidas recomendadas por el MSP: </w:t>
            </w:r>
            <w:r w:rsidRPr="002C4A1E">
              <w:rPr>
                <w:rFonts w:ascii="Arial" w:eastAsia="Times New Roman" w:hAnsi="Arial" w:cs="Arial"/>
                <w:color w:val="000000"/>
                <w:sz w:val="20"/>
                <w:szCs w:val="20"/>
                <w:lang w:eastAsia="es-UY"/>
              </w:rPr>
              <w:br/>
              <w:t xml:space="preserve">- Promoción o reinducción de la lactacia materna con apoyo a la madre y seguimiento. </w:t>
            </w:r>
            <w:r w:rsidRPr="002C4A1E">
              <w:rPr>
                <w:rFonts w:ascii="Arial" w:eastAsia="Times New Roman" w:hAnsi="Arial" w:cs="Arial"/>
                <w:color w:val="000000"/>
                <w:sz w:val="20"/>
                <w:szCs w:val="20"/>
                <w:lang w:eastAsia="es-UY"/>
              </w:rPr>
              <w:br/>
              <w:t xml:space="preserve">- Valoración nutricional de la madre. </w:t>
            </w:r>
            <w:r w:rsidRPr="002C4A1E">
              <w:rPr>
                <w:rFonts w:ascii="Arial" w:eastAsia="Times New Roman" w:hAnsi="Arial" w:cs="Arial"/>
                <w:color w:val="000000"/>
                <w:sz w:val="20"/>
                <w:szCs w:val="20"/>
                <w:lang w:eastAsia="es-UY"/>
              </w:rPr>
              <w:br/>
              <w:t xml:space="preserve">- Incorporación a Plan de Seguimiento con identificación de historia clínica para atención preferencial </w:t>
            </w:r>
            <w:r w:rsidRPr="002C4A1E">
              <w:rPr>
                <w:rFonts w:ascii="Arial" w:eastAsia="Times New Roman" w:hAnsi="Arial" w:cs="Arial"/>
                <w:color w:val="000000"/>
                <w:sz w:val="20"/>
                <w:szCs w:val="20"/>
                <w:lang w:eastAsia="es-UY"/>
              </w:rPr>
              <w:br/>
              <w:t xml:space="preserve">- Aporte de canasta de complemento alimentaria de Instituto Nacional de Alimentación (INDA) </w:t>
            </w:r>
            <w:r w:rsidRPr="002C4A1E">
              <w:rPr>
                <w:rFonts w:ascii="Arial" w:eastAsia="Times New Roman" w:hAnsi="Arial" w:cs="Arial"/>
                <w:color w:val="000000"/>
                <w:sz w:val="20"/>
                <w:szCs w:val="20"/>
                <w:lang w:eastAsia="es-UY"/>
              </w:rPr>
              <w:br/>
              <w:t xml:space="preserve">- Suplementación con vitaminas y minerales o hierro via oral.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19. Tos convulsa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que presenta accesos de tos paroxística seguida de estridor respiratorio, que pueden acompañarse de expulsión de mucosidad adherente y vómito, sin fiebre y con una duración mínima de 2 semanas. El cuadro puede no ser típico en niños menores de 6 meses de edad, en adolescentes y adultos.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Caso sospechoso confirmado por laboratorio por aislamiento de Bordetella pertussis en secreción respiratoria o por nexo epidemiológico con un caso confirmado por laboratorio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La inmunización contra Bordetella pertussis integra el esquema básico del Programa Ampliado de Inmunizaciones del MSP (vacuna pentavalente).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Control del paciente y los contactos </w:t>
            </w:r>
            <w:r w:rsidRPr="002C4A1E">
              <w:rPr>
                <w:rFonts w:ascii="Arial" w:eastAsia="Times New Roman" w:hAnsi="Arial" w:cs="Arial"/>
                <w:color w:val="000000"/>
                <w:sz w:val="20"/>
                <w:szCs w:val="20"/>
                <w:lang w:eastAsia="es-UY"/>
              </w:rPr>
              <w:br/>
              <w:t xml:space="preserve">- Aislamiento de secreciones respiratorias en los casos. </w:t>
            </w:r>
            <w:r w:rsidRPr="002C4A1E">
              <w:rPr>
                <w:rFonts w:ascii="Arial" w:eastAsia="Times New Roman" w:hAnsi="Arial" w:cs="Arial"/>
                <w:color w:val="000000"/>
                <w:sz w:val="20"/>
                <w:szCs w:val="20"/>
                <w:lang w:eastAsia="es-UY"/>
              </w:rPr>
              <w:br/>
              <w:t xml:space="preserve">- Separar los casos sospechosos de los lactantes y los niños de corta edad, especialmente los no inmunizados, hasta que los pacientes hayan recibido antibióticos durante 5 días por lo menos, en un esquema mínimo de 10 días. </w:t>
            </w:r>
            <w:r w:rsidRPr="002C4A1E">
              <w:rPr>
                <w:rFonts w:ascii="Arial" w:eastAsia="Times New Roman" w:hAnsi="Arial" w:cs="Arial"/>
                <w:color w:val="000000"/>
                <w:sz w:val="20"/>
                <w:szCs w:val="20"/>
                <w:lang w:eastAsia="es-UY"/>
              </w:rPr>
              <w:br/>
              <w:t xml:space="preserve">- Está indicada la quimioprofilaxis antibiótica en contactos, con o sin vacunación vigente. </w:t>
            </w:r>
            <w:r w:rsidRPr="002C4A1E">
              <w:rPr>
                <w:rFonts w:ascii="Arial" w:eastAsia="Times New Roman" w:hAnsi="Arial" w:cs="Arial"/>
                <w:color w:val="000000"/>
                <w:sz w:val="20"/>
                <w:szCs w:val="20"/>
                <w:lang w:eastAsia="es-UY"/>
              </w:rPr>
              <w:br/>
              <w:t xml:space="preserve">- Evitar la concurrencia a escuelas, guarderías o jardines de infantes a los casos y a los contactos el núcleo familiar menores de 7 años de edad sin vacunación pentavalente o con vacunación incompleta, hasta cumplida la mitad del tiempo de quimioprofilaxis requerida.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20. Tuberculosis</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Tuberculosis pulmonar: </w:t>
            </w:r>
            <w:r w:rsidRPr="002C4A1E">
              <w:rPr>
                <w:rFonts w:ascii="Arial" w:eastAsia="Times New Roman" w:hAnsi="Arial" w:cs="Arial"/>
                <w:color w:val="000000"/>
                <w:sz w:val="20"/>
                <w:szCs w:val="20"/>
                <w:lang w:eastAsia="es-UY"/>
              </w:rPr>
              <w:br/>
              <w:t xml:space="preserve">- Tos y catarro persistente de más de 15 días (sintomático respiratorio). </w:t>
            </w:r>
            <w:r w:rsidRPr="002C4A1E">
              <w:rPr>
                <w:rFonts w:ascii="Arial" w:eastAsia="Times New Roman" w:hAnsi="Arial" w:cs="Arial"/>
                <w:color w:val="000000"/>
                <w:sz w:val="20"/>
                <w:szCs w:val="20"/>
                <w:lang w:eastAsia="es-UY"/>
              </w:rPr>
              <w:br/>
              <w:t xml:space="preserve">- Expectoración con sangre (hemoptisis), con o sin dolor toráxico y dificultad para respirar. </w:t>
            </w:r>
            <w:r w:rsidRPr="002C4A1E">
              <w:rPr>
                <w:rFonts w:ascii="Arial" w:eastAsia="Times New Roman" w:hAnsi="Arial" w:cs="Arial"/>
                <w:color w:val="000000"/>
                <w:sz w:val="20"/>
                <w:szCs w:val="20"/>
                <w:lang w:eastAsia="es-UY"/>
              </w:rPr>
              <w:br/>
              <w:t xml:space="preserve">- Rx pulmonar compatible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de Tuberculosis extrapulmonar: </w:t>
            </w:r>
            <w:r w:rsidRPr="002C4A1E">
              <w:rPr>
                <w:rFonts w:ascii="Arial" w:eastAsia="Times New Roman" w:hAnsi="Arial" w:cs="Arial"/>
                <w:color w:val="000000"/>
                <w:sz w:val="20"/>
                <w:szCs w:val="20"/>
                <w:lang w:eastAsia="es-UY"/>
              </w:rPr>
              <w:br/>
              <w:t xml:space="preserve">- Los síntomas generales de la Tuberculosis extrapulmonar pueden ser similares a los de la pulmonar: fiebre, astenia, decaimiento, sudor nocturno, etc. </w:t>
            </w:r>
            <w:r w:rsidRPr="002C4A1E">
              <w:rPr>
                <w:rFonts w:ascii="Arial" w:eastAsia="Times New Roman" w:hAnsi="Arial" w:cs="Arial"/>
                <w:color w:val="000000"/>
                <w:sz w:val="20"/>
                <w:szCs w:val="20"/>
                <w:lang w:eastAsia="es-UY"/>
              </w:rPr>
              <w:br/>
              <w:t xml:space="preserve">- A estos síntomas y signos se agregan los específicos para cada localización. </w:t>
            </w:r>
            <w:r w:rsidRPr="002C4A1E">
              <w:rPr>
                <w:rFonts w:ascii="Arial" w:eastAsia="Times New Roman" w:hAnsi="Arial" w:cs="Arial"/>
                <w:color w:val="000000"/>
                <w:sz w:val="20"/>
                <w:szCs w:val="20"/>
                <w:lang w:eastAsia="es-UY"/>
              </w:rPr>
              <w:br/>
              <w:t xml:space="preserve">- Tuberculosis extrapulmonar severa (meningitis, formas miliares, pericarditis, peritonitis, pleuresía bilateral, intestinal, genital, urinaria, etc.)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sospechoso confirmado de acuerdo a los siguientes criterios: </w:t>
            </w:r>
            <w:r w:rsidRPr="002C4A1E">
              <w:rPr>
                <w:rFonts w:ascii="Arial" w:eastAsia="Times New Roman" w:hAnsi="Arial" w:cs="Arial"/>
                <w:color w:val="000000"/>
                <w:sz w:val="20"/>
                <w:szCs w:val="20"/>
                <w:lang w:eastAsia="es-UY"/>
              </w:rPr>
              <w:br/>
              <w:t xml:space="preserve">a. TBC pulmonar confirmada por baciloscopía: baciloscopía positiva </w:t>
            </w:r>
            <w:r w:rsidRPr="002C4A1E">
              <w:rPr>
                <w:rFonts w:ascii="Arial" w:eastAsia="Times New Roman" w:hAnsi="Arial" w:cs="Arial"/>
                <w:color w:val="000000"/>
                <w:sz w:val="20"/>
                <w:szCs w:val="20"/>
                <w:lang w:eastAsia="es-UY"/>
              </w:rPr>
              <w:br/>
              <w:t xml:space="preserve">b. TBC pulmonar no confirmada por baciloscopía: baciloscopía negativa </w:t>
            </w:r>
            <w:r w:rsidRPr="002C4A1E">
              <w:rPr>
                <w:rFonts w:ascii="Arial" w:eastAsia="Times New Roman" w:hAnsi="Arial" w:cs="Arial"/>
                <w:color w:val="000000"/>
                <w:sz w:val="20"/>
                <w:szCs w:val="20"/>
                <w:lang w:eastAsia="es-UY"/>
              </w:rPr>
              <w:br/>
              <w:t xml:space="preserve">c. TBC extra-pulmonar </w:t>
            </w:r>
            <w:r w:rsidRPr="002C4A1E">
              <w:rPr>
                <w:rFonts w:ascii="Arial" w:eastAsia="Times New Roman" w:hAnsi="Arial" w:cs="Arial"/>
                <w:color w:val="000000"/>
                <w:sz w:val="20"/>
                <w:szCs w:val="20"/>
                <w:lang w:eastAsia="es-UY"/>
              </w:rPr>
              <w:br/>
              <w:t xml:space="preserve">a. TBC pulmonar baciloscopía positiva: Es la forma más infecciosa de TBC por lo cual, desde el punto de vista epidemiológico, los pacientes que presentan esta forma constituyen las principales fuentes de contagio. </w:t>
            </w:r>
            <w:r w:rsidRPr="002C4A1E">
              <w:rPr>
                <w:rFonts w:ascii="Arial" w:eastAsia="Times New Roman" w:hAnsi="Arial" w:cs="Arial"/>
                <w:color w:val="000000"/>
                <w:sz w:val="20"/>
                <w:szCs w:val="20"/>
                <w:lang w:eastAsia="es-UY"/>
              </w:rPr>
              <w:br/>
              <w:t xml:space="preserve">Se pueden presentar estas eventualidades: </w:t>
            </w:r>
            <w:r w:rsidRPr="002C4A1E">
              <w:rPr>
                <w:rFonts w:ascii="Arial" w:eastAsia="Times New Roman" w:hAnsi="Arial" w:cs="Arial"/>
                <w:color w:val="000000"/>
                <w:sz w:val="20"/>
                <w:szCs w:val="20"/>
                <w:lang w:eastAsia="es-UY"/>
              </w:rPr>
              <w:br/>
              <w:t xml:space="preserve">- paciente con dos muestras de esputo positivas para bacilos ácidoalcohol resistentes (BAAR) (baciloscopías positivas) </w:t>
            </w:r>
            <w:r w:rsidRPr="002C4A1E">
              <w:rPr>
                <w:rFonts w:ascii="Arial" w:eastAsia="Times New Roman" w:hAnsi="Arial" w:cs="Arial"/>
                <w:color w:val="000000"/>
                <w:sz w:val="20"/>
                <w:szCs w:val="20"/>
                <w:lang w:eastAsia="es-UY"/>
              </w:rPr>
              <w:br/>
              <w:t xml:space="preserve">- paciente con una muestra de esputo positiva para BAAR y decisión del médico de instituirle tratamiento anti-tuberculoso completo, basada en consideraciones clínicas, imagenológicas y epidemiológicas. </w:t>
            </w:r>
            <w:r w:rsidRPr="002C4A1E">
              <w:rPr>
                <w:rFonts w:ascii="Arial" w:eastAsia="Times New Roman" w:hAnsi="Arial" w:cs="Arial"/>
                <w:color w:val="000000"/>
                <w:sz w:val="20"/>
                <w:szCs w:val="20"/>
                <w:lang w:eastAsia="es-UY"/>
              </w:rPr>
              <w:br/>
              <w:t xml:space="preserve">- paciente con una muestra de esputo positiva para BAAR cuyo cultivo para M. Tuberculosis resultare positivo </w:t>
            </w:r>
            <w:r w:rsidRPr="002C4A1E">
              <w:rPr>
                <w:rFonts w:ascii="Arial" w:eastAsia="Times New Roman" w:hAnsi="Arial" w:cs="Arial"/>
                <w:color w:val="000000"/>
                <w:sz w:val="20"/>
                <w:szCs w:val="20"/>
                <w:lang w:eastAsia="es-UY"/>
              </w:rPr>
              <w:br/>
              <w:t xml:space="preserve">b. TBC pulmonar baciloscopía negativa: En esta categoría pueden incluirse las siguientes eventualidades: </w:t>
            </w:r>
            <w:r w:rsidRPr="002C4A1E">
              <w:rPr>
                <w:rFonts w:ascii="Arial" w:eastAsia="Times New Roman" w:hAnsi="Arial" w:cs="Arial"/>
                <w:color w:val="000000"/>
                <w:sz w:val="20"/>
                <w:szCs w:val="20"/>
                <w:lang w:eastAsia="es-UY"/>
              </w:rPr>
              <w:br/>
            </w:r>
            <w:r w:rsidRPr="002C4A1E">
              <w:rPr>
                <w:rFonts w:ascii="Arial" w:eastAsia="Times New Roman" w:hAnsi="Arial" w:cs="Arial"/>
                <w:color w:val="000000"/>
                <w:sz w:val="20"/>
                <w:szCs w:val="20"/>
                <w:lang w:eastAsia="es-UY"/>
              </w:rPr>
              <w:lastRenderedPageBreak/>
              <w:t xml:space="preserve">- dos series, tomadas con un intervalo de 1 a 2 semanas, de por lo menos dos muestras de esputo que resulten negativas en el estudio baciloscópico </w:t>
            </w:r>
            <w:r w:rsidRPr="002C4A1E">
              <w:rPr>
                <w:rFonts w:ascii="Arial" w:eastAsia="Times New Roman" w:hAnsi="Arial" w:cs="Arial"/>
                <w:color w:val="000000"/>
                <w:sz w:val="20"/>
                <w:szCs w:val="20"/>
                <w:lang w:eastAsia="es-UY"/>
              </w:rPr>
              <w:br/>
              <w:t xml:space="preserve">- paciente que cumple con los siguientes requisitos: estado grave, dos muestras de esputo negativas para BAAR y decisión del médico de instituirle tratamiento anti-tuberculoso completo, basada en consideraciones clínicas, imagenológicas y epidemiológicas. </w:t>
            </w:r>
            <w:r w:rsidRPr="002C4A1E">
              <w:rPr>
                <w:rFonts w:ascii="Arial" w:eastAsia="Times New Roman" w:hAnsi="Arial" w:cs="Arial"/>
                <w:color w:val="000000"/>
                <w:sz w:val="20"/>
                <w:szCs w:val="20"/>
                <w:lang w:eastAsia="es-UY"/>
              </w:rPr>
              <w:br/>
              <w:t xml:space="preserve">- En estas dos eventualidades no hay confirmación bacteriológica: </w:t>
            </w:r>
            <w:r w:rsidRPr="002C4A1E">
              <w:rPr>
                <w:rFonts w:ascii="Arial" w:eastAsia="Times New Roman" w:hAnsi="Arial" w:cs="Arial"/>
                <w:color w:val="000000"/>
                <w:sz w:val="20"/>
                <w:szCs w:val="20"/>
                <w:lang w:eastAsia="es-UY"/>
              </w:rPr>
              <w:br/>
              <w:t xml:space="preserve">TBC no confirmada bacteriológicamente </w:t>
            </w:r>
            <w:r w:rsidRPr="002C4A1E">
              <w:rPr>
                <w:rFonts w:ascii="Arial" w:eastAsia="Times New Roman" w:hAnsi="Arial" w:cs="Arial"/>
                <w:color w:val="000000"/>
                <w:sz w:val="20"/>
                <w:szCs w:val="20"/>
                <w:lang w:eastAsia="es-UY"/>
              </w:rPr>
              <w:br/>
              <w:t xml:space="preserve">- la tercera eventualidad es un paciente con muestras de esputo inicialmente negativas para BAAR, en el cual, posteriormente, el cultivo de esputo que se había enviado inicialmente resulta positivo. </w:t>
            </w:r>
            <w:r w:rsidRPr="002C4A1E">
              <w:rPr>
                <w:rFonts w:ascii="Arial" w:eastAsia="Times New Roman" w:hAnsi="Arial" w:cs="Arial"/>
                <w:color w:val="000000"/>
                <w:sz w:val="20"/>
                <w:szCs w:val="20"/>
                <w:lang w:eastAsia="es-UY"/>
              </w:rPr>
              <w:br/>
              <w:t xml:space="preserve">En esta última situación si bien la baciloscopía es negativa, la TBC se considera confirmada bacteriológicamente. </w:t>
            </w:r>
            <w:r w:rsidRPr="002C4A1E">
              <w:rPr>
                <w:rFonts w:ascii="Arial" w:eastAsia="Times New Roman" w:hAnsi="Arial" w:cs="Arial"/>
                <w:color w:val="000000"/>
                <w:sz w:val="20"/>
                <w:szCs w:val="20"/>
                <w:lang w:eastAsia="es-UY"/>
              </w:rPr>
              <w:br/>
              <w:t xml:space="preserve">c. Tuberculosis extrapulmonar: </w:t>
            </w:r>
            <w:r w:rsidRPr="002C4A1E">
              <w:rPr>
                <w:rFonts w:ascii="Arial" w:eastAsia="Times New Roman" w:hAnsi="Arial" w:cs="Arial"/>
                <w:color w:val="000000"/>
                <w:sz w:val="20"/>
                <w:szCs w:val="20"/>
                <w:lang w:eastAsia="es-UY"/>
              </w:rPr>
              <w:br/>
              <w:t xml:space="preserve">- Paciente con al menos un cultivo positivo de muestras obtenidas de localizaciones extrapulmonares. (Se incluye la TBC que afecta la pleura como localización extra-pulmonar). </w:t>
            </w:r>
            <w:r w:rsidRPr="002C4A1E">
              <w:rPr>
                <w:rFonts w:ascii="Arial" w:eastAsia="Times New Roman" w:hAnsi="Arial" w:cs="Arial"/>
                <w:color w:val="000000"/>
                <w:sz w:val="20"/>
                <w:szCs w:val="20"/>
                <w:lang w:eastAsia="es-UY"/>
              </w:rPr>
              <w:br/>
              <w:t xml:space="preserve">- Paciente con estudio directo positivo para BAAR de muestras obtenidas de localizaciones extra-pulmonares y decisión del médico de instituirle tratamiento anti-tuberculoso completo, basada en consideraciones clínicas, imagenológicas y epidemiológicas. </w:t>
            </w:r>
            <w:r w:rsidRPr="002C4A1E">
              <w:rPr>
                <w:rFonts w:ascii="Arial" w:eastAsia="Times New Roman" w:hAnsi="Arial" w:cs="Arial"/>
                <w:color w:val="000000"/>
                <w:sz w:val="20"/>
                <w:szCs w:val="20"/>
                <w:lang w:eastAsia="es-UY"/>
              </w:rPr>
              <w:br/>
              <w:t xml:space="preserve">- Paciente con estudios histopatológicos y/o biológicos compatibles con el diagnóstico de TBC y decisión del médico de instituirle tratamiento anti-tuberculoso completo basada en consideraciones clínicas, imagenológicas y epidemiológicas.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Detección de sintomáticos respiratorios y realización de baciloscopía. </w:t>
            </w:r>
            <w:r w:rsidRPr="002C4A1E">
              <w:rPr>
                <w:rFonts w:ascii="Arial" w:eastAsia="Times New Roman" w:hAnsi="Arial" w:cs="Arial"/>
                <w:color w:val="000000"/>
                <w:sz w:val="20"/>
                <w:szCs w:val="20"/>
                <w:lang w:eastAsia="es-UY"/>
              </w:rPr>
              <w:br/>
              <w:t xml:space="preserve">- Tratamiento directamente observado que asegure la curación del enfermo según normas del Programa Nacional de Control de la Tuberculosis (Comisión Honoraria para la Lucha Antituberculosa y Enfermedades Prevalentes). </w:t>
            </w:r>
            <w:r w:rsidRPr="002C4A1E">
              <w:rPr>
                <w:rFonts w:ascii="Arial" w:eastAsia="Times New Roman" w:hAnsi="Arial" w:cs="Arial"/>
                <w:color w:val="000000"/>
                <w:sz w:val="20"/>
                <w:szCs w:val="20"/>
                <w:lang w:eastAsia="es-UY"/>
              </w:rPr>
              <w:br/>
              <w:t xml:space="preserve">- Vacunación BCG obligatoria de los recién nacidos cuyo peso sea igual o superior a los 2500 g. antes del alta de la maternidad, incluida en el Programa Ampliado de Inmunizaciones. </w:t>
            </w:r>
            <w:r w:rsidRPr="002C4A1E">
              <w:rPr>
                <w:rFonts w:ascii="Arial" w:eastAsia="Times New Roman" w:hAnsi="Arial" w:cs="Arial"/>
                <w:color w:val="000000"/>
                <w:sz w:val="20"/>
                <w:szCs w:val="20"/>
                <w:lang w:eastAsia="es-UY"/>
              </w:rPr>
              <w:br/>
              <w:t xml:space="preserve">- Investigación de los contactos de enfermos bacilíferos </w:t>
            </w:r>
            <w:r w:rsidRPr="002C4A1E">
              <w:rPr>
                <w:rFonts w:ascii="Arial" w:eastAsia="Times New Roman" w:hAnsi="Arial" w:cs="Arial"/>
                <w:color w:val="000000"/>
                <w:sz w:val="20"/>
                <w:szCs w:val="20"/>
                <w:lang w:eastAsia="es-UY"/>
              </w:rPr>
              <w:br/>
              <w:t xml:space="preserve">- Quimioprofilaxis a contactos y pacientes VIH positivos y otros grupos de riesgo (fibróticos pulmonares, inmunodeprimidos)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21. Varicela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Paciente no vacunado que presenta enfermedad de inicio agudo caracterizada por la presencia de erupción papulovesicular generalizada y pruriginosa, sin otra causa aparente.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caso sospechoso de Varicela que tiene nexo epidemiológico con un caso confirmado o sospechoso, o </w:t>
            </w:r>
            <w:r w:rsidRPr="002C4A1E">
              <w:rPr>
                <w:rFonts w:ascii="Arial" w:eastAsia="Times New Roman" w:hAnsi="Arial" w:cs="Arial"/>
                <w:color w:val="000000"/>
                <w:sz w:val="20"/>
                <w:szCs w:val="20"/>
                <w:lang w:eastAsia="es-UY"/>
              </w:rPr>
              <w:br/>
              <w:t xml:space="preserve">- caso sospechoso de Varicela confirmado por laboratorio por: </w:t>
            </w:r>
            <w:r w:rsidRPr="002C4A1E">
              <w:rPr>
                <w:rFonts w:ascii="Arial" w:eastAsia="Times New Roman" w:hAnsi="Arial" w:cs="Arial"/>
                <w:color w:val="000000"/>
                <w:sz w:val="20"/>
                <w:szCs w:val="20"/>
                <w:lang w:eastAsia="es-UY"/>
              </w:rPr>
              <w:br/>
              <w:t xml:space="preserve">- aislamiento del virus del fluido de las vesículas, </w:t>
            </w:r>
            <w:r w:rsidRPr="002C4A1E">
              <w:rPr>
                <w:rFonts w:ascii="Arial" w:eastAsia="Times New Roman" w:hAnsi="Arial" w:cs="Arial"/>
                <w:color w:val="000000"/>
                <w:sz w:val="20"/>
                <w:szCs w:val="20"/>
                <w:lang w:eastAsia="es-UY"/>
              </w:rPr>
              <w:br/>
              <w:t xml:space="preserve">- determinación de IgM por técnica de ELISA. </w:t>
            </w:r>
            <w:r w:rsidRPr="002C4A1E">
              <w:rPr>
                <w:rFonts w:ascii="Arial" w:eastAsia="Times New Roman" w:hAnsi="Arial" w:cs="Arial"/>
                <w:color w:val="000000"/>
                <w:sz w:val="20"/>
                <w:szCs w:val="20"/>
                <w:lang w:eastAsia="es-UY"/>
              </w:rPr>
              <w:br/>
              <w:t xml:space="preserve">- aumento 4 veces de los títulos en la inmunoglobulina G especifica, medida por cualquier prueba serológica habitual.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Generales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lastRenderedPageBreak/>
              <w:t xml:space="preserve">La inmunización contra Varicela se aplica a todos los niños al año de edad como parte del esquema básico del Programa Ampliado de Inmunizaciones del MSP. </w:t>
            </w:r>
            <w:r w:rsidRPr="002C4A1E">
              <w:rPr>
                <w:rFonts w:ascii="Arial" w:eastAsia="Times New Roman" w:hAnsi="Arial" w:cs="Arial"/>
                <w:color w:val="000000"/>
                <w:sz w:val="20"/>
                <w:szCs w:val="20"/>
                <w:lang w:eastAsia="es-UY"/>
              </w:rPr>
              <w:br/>
              <w:t xml:space="preserve">Control del caso y los contactos </w:t>
            </w:r>
            <w:r w:rsidRPr="002C4A1E">
              <w:rPr>
                <w:rFonts w:ascii="Arial" w:eastAsia="Times New Roman" w:hAnsi="Arial" w:cs="Arial"/>
                <w:color w:val="000000"/>
                <w:sz w:val="20"/>
                <w:szCs w:val="20"/>
                <w:lang w:eastAsia="es-UY"/>
              </w:rPr>
              <w:br/>
              <w:t xml:space="preserve">- Excluir a los enfermos de escuela, consultorios médicos y otros sitios públicos desde el inicio de la erupción hasta que se secan las vesículas. </w:t>
            </w:r>
            <w:r w:rsidRPr="002C4A1E">
              <w:rPr>
                <w:rFonts w:ascii="Arial" w:eastAsia="Times New Roman" w:hAnsi="Arial" w:cs="Arial"/>
                <w:color w:val="000000"/>
                <w:sz w:val="20"/>
                <w:szCs w:val="20"/>
                <w:lang w:eastAsia="es-UY"/>
              </w:rPr>
              <w:br/>
              <w:t xml:space="preserve">- Evitar el contacto con personas susceptibles y en particular los inmunodeprimidos. </w:t>
            </w:r>
            <w:r w:rsidRPr="002C4A1E">
              <w:rPr>
                <w:rFonts w:ascii="Arial" w:eastAsia="Times New Roman" w:hAnsi="Arial" w:cs="Arial"/>
                <w:color w:val="000000"/>
                <w:sz w:val="20"/>
                <w:szCs w:val="20"/>
                <w:lang w:eastAsia="es-UY"/>
              </w:rPr>
              <w:br/>
              <w:t xml:space="preserve">- Aplicación de inmunoglobulina específica anti-varicela, dentro de las primeras 96 horas luego de la exposición, a contactos con un mayor riesgo de complicaciones que la población general: </w:t>
            </w:r>
            <w:r w:rsidRPr="002C4A1E">
              <w:rPr>
                <w:rFonts w:ascii="Arial" w:eastAsia="Times New Roman" w:hAnsi="Arial" w:cs="Arial"/>
                <w:color w:val="000000"/>
                <w:sz w:val="20"/>
                <w:szCs w:val="20"/>
                <w:lang w:eastAsia="es-UY"/>
              </w:rPr>
              <w:br/>
              <w:t xml:space="preserve">- Recién nacidos cuyas madres desarrollen varicela 5 días antes del parto hasta 2 días después del mismo. </w:t>
            </w:r>
            <w:r w:rsidRPr="002C4A1E">
              <w:rPr>
                <w:rFonts w:ascii="Arial" w:eastAsia="Times New Roman" w:hAnsi="Arial" w:cs="Arial"/>
                <w:color w:val="000000"/>
                <w:sz w:val="20"/>
                <w:szCs w:val="20"/>
                <w:lang w:eastAsia="es-UY"/>
              </w:rPr>
              <w:br/>
              <w:t xml:space="preserve">- Niños immunocomprometidos. </w:t>
            </w:r>
            <w:r w:rsidRPr="002C4A1E">
              <w:rPr>
                <w:rFonts w:ascii="Arial" w:eastAsia="Times New Roman" w:hAnsi="Arial" w:cs="Arial"/>
                <w:color w:val="000000"/>
                <w:sz w:val="20"/>
                <w:szCs w:val="20"/>
                <w:lang w:eastAsia="es-UY"/>
              </w:rPr>
              <w:br/>
              <w:t xml:space="preserve">- Mujeres embarazadas susceptibles. </w:t>
            </w:r>
            <w:r w:rsidRPr="002C4A1E">
              <w:rPr>
                <w:rFonts w:ascii="Arial" w:eastAsia="Times New Roman" w:hAnsi="Arial" w:cs="Arial"/>
                <w:color w:val="000000"/>
                <w:sz w:val="20"/>
                <w:szCs w:val="20"/>
                <w:lang w:eastAsia="es-UY"/>
              </w:rPr>
              <w:br/>
              <w:t xml:space="preserve">- Recién nacidos prematuros hospitalizados con más de 28 semanas de gestación, cuya madre tenga antecedentes negativos de varicela. </w:t>
            </w:r>
            <w:r w:rsidRPr="002C4A1E">
              <w:rPr>
                <w:rFonts w:ascii="Arial" w:eastAsia="Times New Roman" w:hAnsi="Arial" w:cs="Arial"/>
                <w:color w:val="000000"/>
                <w:sz w:val="20"/>
                <w:szCs w:val="20"/>
                <w:lang w:eastAsia="es-UY"/>
              </w:rPr>
              <w:br/>
              <w:t xml:space="preserve">- Recién nacidos prematuros con menos de 28 semanas de gestación sin tener en cuenta la historia previa materna de varicela.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22. VIH/SIDA</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Definición: </w:t>
            </w:r>
            <w:r w:rsidRPr="002C4A1E">
              <w:rPr>
                <w:rFonts w:ascii="Arial" w:eastAsia="Times New Roman" w:hAnsi="Arial" w:cs="Arial"/>
                <w:color w:val="000000"/>
                <w:sz w:val="20"/>
                <w:szCs w:val="20"/>
                <w:lang w:eastAsia="es-UY"/>
              </w:rPr>
              <w:br/>
              <w:t xml:space="preserve">Caso sospechoso: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Personas que presentan enfermedades que indican inmunodeficiencias: </w:t>
            </w:r>
            <w:r w:rsidRPr="002C4A1E">
              <w:rPr>
                <w:rFonts w:ascii="Arial" w:eastAsia="Times New Roman" w:hAnsi="Arial" w:cs="Arial"/>
                <w:color w:val="000000"/>
                <w:sz w:val="20"/>
                <w:szCs w:val="20"/>
                <w:lang w:eastAsia="es-UY"/>
              </w:rPr>
              <w:br/>
              <w:t xml:space="preserve">- Candidiasis de esófago, tráquea, bronquios o pulmones </w:t>
            </w:r>
            <w:r w:rsidRPr="002C4A1E">
              <w:rPr>
                <w:rFonts w:ascii="Arial" w:eastAsia="Times New Roman" w:hAnsi="Arial" w:cs="Arial"/>
                <w:color w:val="000000"/>
                <w:sz w:val="20"/>
                <w:szCs w:val="20"/>
                <w:lang w:eastAsia="es-UY"/>
              </w:rPr>
              <w:br/>
              <w:t xml:space="preserve">- Criptococosis con diarreas persistentes por más de un mes </w:t>
            </w:r>
            <w:r w:rsidRPr="002C4A1E">
              <w:rPr>
                <w:rFonts w:ascii="Arial" w:eastAsia="Times New Roman" w:hAnsi="Arial" w:cs="Arial"/>
                <w:color w:val="000000"/>
                <w:sz w:val="20"/>
                <w:szCs w:val="20"/>
                <w:lang w:eastAsia="es-UY"/>
              </w:rPr>
              <w:br/>
              <w:t xml:space="preserve">- Isosporidiasis con diarreas persistentes por más de un mes </w:t>
            </w:r>
            <w:r w:rsidRPr="002C4A1E">
              <w:rPr>
                <w:rFonts w:ascii="Arial" w:eastAsia="Times New Roman" w:hAnsi="Arial" w:cs="Arial"/>
                <w:color w:val="000000"/>
                <w:sz w:val="20"/>
                <w:szCs w:val="20"/>
                <w:lang w:eastAsia="es-UY"/>
              </w:rPr>
              <w:br/>
              <w:t xml:space="preserve">- Enfermedades por CMV de un órgano que no sea hígado,bazo o ganglios linfáticos </w:t>
            </w:r>
            <w:r w:rsidRPr="002C4A1E">
              <w:rPr>
                <w:rFonts w:ascii="Arial" w:eastAsia="Times New Roman" w:hAnsi="Arial" w:cs="Arial"/>
                <w:color w:val="000000"/>
                <w:sz w:val="20"/>
                <w:szCs w:val="20"/>
                <w:lang w:eastAsia="es-UY"/>
              </w:rPr>
              <w:br/>
              <w:t xml:space="preserve">- Herpes simple ulcero mucocutáneo que persiste por más de un año </w:t>
            </w:r>
            <w:r w:rsidRPr="002C4A1E">
              <w:rPr>
                <w:rFonts w:ascii="Arial" w:eastAsia="Times New Roman" w:hAnsi="Arial" w:cs="Arial"/>
                <w:color w:val="000000"/>
                <w:sz w:val="20"/>
                <w:szCs w:val="20"/>
                <w:lang w:eastAsia="es-UY"/>
              </w:rPr>
              <w:br/>
              <w:t xml:space="preserve">- Sarcoma de Kapösi </w:t>
            </w:r>
            <w:r w:rsidRPr="002C4A1E">
              <w:rPr>
                <w:rFonts w:ascii="Arial" w:eastAsia="Times New Roman" w:hAnsi="Arial" w:cs="Arial"/>
                <w:color w:val="000000"/>
                <w:sz w:val="20"/>
                <w:szCs w:val="20"/>
                <w:lang w:eastAsia="es-UY"/>
              </w:rPr>
              <w:br/>
              <w:t xml:space="preserve">- Linfoma primario en el cerebro </w:t>
            </w:r>
            <w:r w:rsidRPr="002C4A1E">
              <w:rPr>
                <w:rFonts w:ascii="Arial" w:eastAsia="Times New Roman" w:hAnsi="Arial" w:cs="Arial"/>
                <w:color w:val="000000"/>
                <w:sz w:val="20"/>
                <w:szCs w:val="20"/>
                <w:lang w:eastAsia="es-UY"/>
              </w:rPr>
              <w:br/>
              <w:t xml:space="preserve">- Complejo Micobacterim Avium o Micobacteria kansasii diseminada (extrapulmonar, extranodular) </w:t>
            </w:r>
            <w:r w:rsidRPr="002C4A1E">
              <w:rPr>
                <w:rFonts w:ascii="Arial" w:eastAsia="Times New Roman" w:hAnsi="Arial" w:cs="Arial"/>
                <w:color w:val="000000"/>
                <w:sz w:val="20"/>
                <w:szCs w:val="20"/>
                <w:lang w:eastAsia="es-UY"/>
              </w:rPr>
              <w:br/>
              <w:t xml:space="preserve">- Leucoencefalopatía multifocal progresiva </w:t>
            </w:r>
            <w:r w:rsidRPr="002C4A1E">
              <w:rPr>
                <w:rFonts w:ascii="Arial" w:eastAsia="Times New Roman" w:hAnsi="Arial" w:cs="Arial"/>
                <w:color w:val="000000"/>
                <w:sz w:val="20"/>
                <w:szCs w:val="20"/>
                <w:lang w:eastAsia="es-UY"/>
              </w:rPr>
              <w:br/>
              <w:t xml:space="preserve">- Encefalopatía VIH demencial </w:t>
            </w:r>
            <w:r w:rsidRPr="002C4A1E">
              <w:rPr>
                <w:rFonts w:ascii="Arial" w:eastAsia="Times New Roman" w:hAnsi="Arial" w:cs="Arial"/>
                <w:color w:val="000000"/>
                <w:sz w:val="20"/>
                <w:szCs w:val="20"/>
                <w:lang w:eastAsia="es-UY"/>
              </w:rPr>
              <w:br/>
              <w:t xml:space="preserve">- Toxoplasmosis del cerebro </w:t>
            </w:r>
            <w:r w:rsidRPr="002C4A1E">
              <w:rPr>
                <w:rFonts w:ascii="Arial" w:eastAsia="Times New Roman" w:hAnsi="Arial" w:cs="Arial"/>
                <w:color w:val="000000"/>
                <w:sz w:val="20"/>
                <w:szCs w:val="20"/>
                <w:lang w:eastAsia="es-UY"/>
              </w:rPr>
              <w:br/>
              <w:t xml:space="preserve">- Histoplasmosis diseminada (extrapulmonar, extranodular) </w:t>
            </w:r>
            <w:r w:rsidRPr="002C4A1E">
              <w:rPr>
                <w:rFonts w:ascii="Arial" w:eastAsia="Times New Roman" w:hAnsi="Arial" w:cs="Arial"/>
                <w:color w:val="000000"/>
                <w:sz w:val="20"/>
                <w:szCs w:val="20"/>
                <w:lang w:eastAsia="es-UY"/>
              </w:rPr>
              <w:br/>
              <w:t xml:space="preserve">- Linfoma no Hodgkin,difuso,de alto grado (no segmentado inmunoblástico o pequeño) </w:t>
            </w:r>
            <w:r w:rsidRPr="002C4A1E">
              <w:rPr>
                <w:rFonts w:ascii="Arial" w:eastAsia="Times New Roman" w:hAnsi="Arial" w:cs="Arial"/>
                <w:color w:val="000000"/>
                <w:sz w:val="20"/>
                <w:szCs w:val="20"/>
                <w:lang w:eastAsia="es-UY"/>
              </w:rPr>
              <w:br/>
              <w:t xml:space="preserve">- Neumonía linfoide intersticial en un niño </w:t>
            </w:r>
            <w:r w:rsidRPr="002C4A1E">
              <w:rPr>
                <w:rFonts w:ascii="Arial" w:eastAsia="Times New Roman" w:hAnsi="Arial" w:cs="Arial"/>
                <w:color w:val="000000"/>
                <w:sz w:val="20"/>
                <w:szCs w:val="20"/>
                <w:lang w:eastAsia="es-UY"/>
              </w:rPr>
              <w:br/>
              <w:t xml:space="preserve">- Coccidiodomicosis diseminada (extrapulmonar, extranodular) </w:t>
            </w:r>
            <w:r w:rsidRPr="002C4A1E">
              <w:rPr>
                <w:rFonts w:ascii="Arial" w:eastAsia="Times New Roman" w:hAnsi="Arial" w:cs="Arial"/>
                <w:color w:val="000000"/>
                <w:sz w:val="20"/>
                <w:szCs w:val="20"/>
                <w:lang w:eastAsia="es-UY"/>
              </w:rPr>
              <w:br/>
              <w:t xml:space="preserve">- Septicemia por salmonellas (recurrente) </w:t>
            </w:r>
            <w:r w:rsidRPr="002C4A1E">
              <w:rPr>
                <w:rFonts w:ascii="Arial" w:eastAsia="Times New Roman" w:hAnsi="Arial" w:cs="Arial"/>
                <w:color w:val="000000"/>
                <w:sz w:val="20"/>
                <w:szCs w:val="20"/>
                <w:lang w:eastAsia="es-UY"/>
              </w:rPr>
              <w:br/>
              <w:t xml:space="preserve">- Tuberculosis extrapulmonar </w:t>
            </w:r>
            <w:r w:rsidRPr="002C4A1E">
              <w:rPr>
                <w:rFonts w:ascii="Arial" w:eastAsia="Times New Roman" w:hAnsi="Arial" w:cs="Arial"/>
                <w:color w:val="000000"/>
                <w:sz w:val="20"/>
                <w:szCs w:val="20"/>
                <w:lang w:eastAsia="es-UY"/>
              </w:rPr>
              <w:br/>
              <w:t xml:space="preserve">- Síndrome de desgaste VIH </w:t>
            </w:r>
            <w:r w:rsidRPr="002C4A1E">
              <w:rPr>
                <w:rFonts w:ascii="Arial" w:eastAsia="Times New Roman" w:hAnsi="Arial" w:cs="Arial"/>
                <w:color w:val="000000"/>
                <w:sz w:val="20"/>
                <w:szCs w:val="20"/>
                <w:lang w:eastAsia="es-UY"/>
              </w:rPr>
              <w:br/>
              <w:t xml:space="preserve">- Infecciones piogénicas bacterianas agudas, múltiples o recurrentes en niños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Criterio aplicable sólo en los casos de adultos: </w:t>
            </w:r>
            <w:r w:rsidRPr="002C4A1E">
              <w:rPr>
                <w:rFonts w:ascii="Arial" w:eastAsia="Times New Roman" w:hAnsi="Arial" w:cs="Arial"/>
                <w:color w:val="000000"/>
                <w:sz w:val="20"/>
                <w:szCs w:val="20"/>
                <w:lang w:eastAsia="es-UY"/>
              </w:rPr>
              <w:br/>
              <w:t xml:space="preserve">- una prueba positiva para el VIH, más </w:t>
            </w:r>
            <w:r w:rsidRPr="002C4A1E">
              <w:rPr>
                <w:rFonts w:ascii="Arial" w:eastAsia="Times New Roman" w:hAnsi="Arial" w:cs="Arial"/>
                <w:color w:val="000000"/>
                <w:sz w:val="20"/>
                <w:szCs w:val="20"/>
                <w:lang w:eastAsia="es-UY"/>
              </w:rPr>
              <w:br/>
              <w:t xml:space="preserve">- ausencia de otras causas de inmunodeficiencia (cáncer,tratam.esteroideos o antiblásticos) </w:t>
            </w:r>
            <w:r w:rsidRPr="002C4A1E">
              <w:rPr>
                <w:rFonts w:ascii="Arial" w:eastAsia="Times New Roman" w:hAnsi="Arial" w:cs="Arial"/>
                <w:color w:val="000000"/>
                <w:sz w:val="20"/>
                <w:szCs w:val="20"/>
                <w:lang w:eastAsia="es-UY"/>
              </w:rPr>
              <w:br/>
              <w:t xml:space="preserve">En adultos se consideran SIDA las personas con un exámen VIH+ más la combinación de una o más infecciones clínicas, con un puntaje de 10 o más puntos, según el siguiente criterio: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5070"/>
              <w:gridCol w:w="1720"/>
            </w:tblGrid>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b/>
                      <w:bCs/>
                      <w:sz w:val="20"/>
                      <w:szCs w:val="20"/>
                      <w:lang w:eastAsia="es-UY"/>
                    </w:rPr>
                    <w:t>Síntoma, signos o diagnósticos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b/>
                      <w:bCs/>
                      <w:sz w:val="20"/>
                      <w:szCs w:val="20"/>
                      <w:lang w:eastAsia="es-UY"/>
                    </w:rPr>
                  </w:pPr>
                  <w:r w:rsidRPr="002C4A1E">
                    <w:rPr>
                      <w:rFonts w:ascii="Times New Roman" w:eastAsia="Times New Roman" w:hAnsi="Times New Roman" w:cs="Times New Roman"/>
                      <w:b/>
                      <w:bCs/>
                      <w:sz w:val="20"/>
                      <w:szCs w:val="20"/>
                      <w:lang w:eastAsia="es-UY"/>
                    </w:rPr>
                    <w:t>Putos</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Sarcoma de Kapösi</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6</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Tuberculosis pulmonar no cavitaria o extrapulmonar</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6</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Candidiasis oral o Leucoplasia oral vellosa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3</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lastRenderedPageBreak/>
                    <w:t>Herpes zoster en &lt; 60 años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3</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Disfunción del S.N.C.</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3</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Diarrea por más de un mes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Fiebre por un mes o más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Caquexia con más del 10% de pérdida de peso</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Astenia por un mes o más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Dermatitis persistente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Anemia, linfopenia y/o trombocitopenia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Infiltrados intersticiales difusos y/o bilaterales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Tos persistente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Otras formas de neumonía (no tuberculosa)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r w:rsidRPr="002C4A1E">
                    <w:rPr>
                      <w:rFonts w:ascii="Times New Roman" w:eastAsia="Times New Roman" w:hAnsi="Times New Roman" w:cs="Times New Roman"/>
                      <w:sz w:val="20"/>
                      <w:szCs w:val="20"/>
                      <w:lang w:eastAsia="es-UY"/>
                    </w:rPr>
                    <w:t>Linfadenopatía generalizada persistente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jc w:val="center"/>
                    <w:rPr>
                      <w:rFonts w:ascii="Times New Roman" w:eastAsia="Times New Roman" w:hAnsi="Times New Roman" w:cs="Times New Roman"/>
                      <w:sz w:val="20"/>
                      <w:szCs w:val="20"/>
                      <w:lang w:eastAsia="es-UY"/>
                    </w:rPr>
                  </w:pPr>
                  <w:r w:rsidRPr="002C4A1E">
                    <w:rPr>
                      <w:rFonts w:ascii="Times New Roman" w:eastAsia="Times New Roman" w:hAnsi="Times New Roman" w:cs="Times New Roman"/>
                      <w:sz w:val="20"/>
                      <w:szCs w:val="20"/>
                      <w:lang w:eastAsia="es-UY"/>
                    </w:rPr>
                    <w:t>2</w:t>
                  </w:r>
                </w:p>
              </w:tc>
            </w:tr>
            <w:tr w:rsidR="002C4A1E" w:rsidRPr="002C4A1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4A1E" w:rsidRPr="002C4A1E" w:rsidRDefault="002C4A1E" w:rsidP="002C4A1E">
                  <w:pPr>
                    <w:spacing w:after="0" w:line="240" w:lineRule="auto"/>
                    <w:rPr>
                      <w:rFonts w:ascii="Times New Roman" w:eastAsia="Times New Roman" w:hAnsi="Times New Roman" w:cs="Times New Roman"/>
                      <w:sz w:val="24"/>
                      <w:szCs w:val="24"/>
                      <w:lang w:eastAsia="es-UY"/>
                    </w:rPr>
                  </w:pPr>
                </w:p>
              </w:tc>
              <w:tc>
                <w:tcPr>
                  <w:tcW w:w="0" w:type="auto"/>
                  <w:vAlign w:val="center"/>
                  <w:hideMark/>
                </w:tcPr>
                <w:p w:rsidR="002C4A1E" w:rsidRPr="002C4A1E" w:rsidRDefault="002C4A1E" w:rsidP="002C4A1E">
                  <w:pPr>
                    <w:spacing w:after="0" w:line="240" w:lineRule="auto"/>
                    <w:rPr>
                      <w:rFonts w:ascii="Times New Roman" w:eastAsia="Times New Roman" w:hAnsi="Times New Roman" w:cs="Times New Roman"/>
                      <w:sz w:val="20"/>
                      <w:szCs w:val="20"/>
                      <w:lang w:eastAsia="es-UY"/>
                    </w:rPr>
                  </w:pPr>
                </w:p>
              </w:tc>
            </w:tr>
          </w:tbl>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Caso confirmado: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Se exigen como mínimo dos tests de Elisa (+) que sean confirmados por alguna de las técnicas confirmatorias (Western Blot o I.F.I. o Liatek) como positivo.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b/>
                <w:bCs/>
                <w:color w:val="000000"/>
                <w:sz w:val="20"/>
                <w:szCs w:val="20"/>
                <w:lang w:eastAsia="es-UY"/>
              </w:rPr>
              <w:t>Medidas de prevención y control:</w:t>
            </w:r>
            <w:r w:rsidRPr="002C4A1E">
              <w:rPr>
                <w:rFonts w:ascii="Arial" w:eastAsia="Times New Roman" w:hAnsi="Arial" w:cs="Arial"/>
                <w:color w:val="000000"/>
                <w:sz w:val="20"/>
                <w:szCs w:val="20"/>
                <w:lang w:eastAsia="es-UY"/>
              </w:rPr>
              <w:t xml:space="preserve"> </w:t>
            </w:r>
          </w:p>
          <w:p w:rsidR="002C4A1E" w:rsidRPr="002C4A1E" w:rsidRDefault="002C4A1E" w:rsidP="002C4A1E">
            <w:p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 Educación a la comunidad sobre los riesgos de la enfermedad y las medidas de prevención (evitar conductas de riesgo, mantener relaciones sexuales seguras, uso de preservativo). </w:t>
            </w:r>
            <w:r w:rsidRPr="002C4A1E">
              <w:rPr>
                <w:rFonts w:ascii="Arial" w:eastAsia="Times New Roman" w:hAnsi="Arial" w:cs="Arial"/>
                <w:color w:val="000000"/>
                <w:sz w:val="20"/>
                <w:szCs w:val="20"/>
                <w:lang w:eastAsia="es-UY"/>
              </w:rPr>
              <w:br/>
              <w:t xml:space="preserve">- Uso de material descartable para inyectables. </w:t>
            </w:r>
            <w:r w:rsidRPr="002C4A1E">
              <w:rPr>
                <w:rFonts w:ascii="Arial" w:eastAsia="Times New Roman" w:hAnsi="Arial" w:cs="Arial"/>
                <w:color w:val="000000"/>
                <w:sz w:val="20"/>
                <w:szCs w:val="20"/>
                <w:lang w:eastAsia="es-UY"/>
              </w:rPr>
              <w:br/>
              <w:t xml:space="preserve">- Prevención de la tranmisión prenatal y perinatal del HIV mediante control de las embarazadas y tratamiento en caso de ser positivas. </w:t>
            </w:r>
            <w:r w:rsidRPr="002C4A1E">
              <w:rPr>
                <w:rFonts w:ascii="Arial" w:eastAsia="Times New Roman" w:hAnsi="Arial" w:cs="Arial"/>
                <w:color w:val="000000"/>
                <w:sz w:val="20"/>
                <w:szCs w:val="20"/>
                <w:lang w:eastAsia="es-UY"/>
              </w:rPr>
              <w:br/>
              <w:t xml:space="preserve">- Control de sangre, plasma y órganos de acuerdo a las normas vigentes. </w:t>
            </w:r>
          </w:p>
          <w:p w:rsidR="002C4A1E" w:rsidRPr="002C4A1E" w:rsidRDefault="002C4A1E" w:rsidP="002C4A1E">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2C4A1E">
              <w:rPr>
                <w:rFonts w:ascii="Arial" w:eastAsia="Times New Roman" w:hAnsi="Arial" w:cs="Arial"/>
                <w:b/>
                <w:bCs/>
                <w:color w:val="000000"/>
                <w:sz w:val="20"/>
                <w:szCs w:val="20"/>
                <w:lang w:eastAsia="es-UY"/>
              </w:rPr>
              <w:t>Vigilancia por puestos centinela</w:t>
            </w:r>
          </w:p>
          <w:p w:rsidR="002C4A1E" w:rsidRPr="002C4A1E" w:rsidRDefault="002C4A1E" w:rsidP="002C4A1E">
            <w:pPr>
              <w:spacing w:after="0"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El Departamento de Epidemiología determinará que algunas enfermedades de elevada incidencia y/o prevalencia se vigilen mediante la disposición e instalación de mecanismos de vigilancia (detección</w:t>
            </w:r>
            <w:proofErr w:type="gramStart"/>
            <w:r w:rsidRPr="002C4A1E">
              <w:rPr>
                <w:rFonts w:ascii="Arial" w:eastAsia="Times New Roman" w:hAnsi="Arial" w:cs="Arial"/>
                <w:color w:val="000000"/>
                <w:sz w:val="20"/>
                <w:szCs w:val="20"/>
                <w:lang w:eastAsia="es-UY"/>
              </w:rPr>
              <w:t>,confirmación</w:t>
            </w:r>
            <w:proofErr w:type="gramEnd"/>
            <w:r w:rsidRPr="002C4A1E">
              <w:rPr>
                <w:rFonts w:ascii="Arial" w:eastAsia="Times New Roman" w:hAnsi="Arial" w:cs="Arial"/>
                <w:color w:val="000000"/>
                <w:sz w:val="20"/>
                <w:szCs w:val="20"/>
                <w:lang w:eastAsia="es-UY"/>
              </w:rPr>
              <w:t xml:space="preserve"> diagnóstica y registro) en servicios asistenciales seleccionados en cada oportunidad por períodos pre establecidos. </w:t>
            </w:r>
            <w:r w:rsidRPr="002C4A1E">
              <w:rPr>
                <w:rFonts w:ascii="Arial" w:eastAsia="Times New Roman" w:hAnsi="Arial" w:cs="Arial"/>
                <w:color w:val="000000"/>
                <w:sz w:val="20"/>
                <w:szCs w:val="20"/>
                <w:lang w:eastAsia="es-UY"/>
              </w:rPr>
              <w:br/>
              <w:t xml:space="preserve">En cada oportunidad se establecerán las definiciones correspondientes de “caso sospechoso”, “caso confirmado” y procedimientos correspondientes. </w:t>
            </w:r>
            <w:r w:rsidRPr="002C4A1E">
              <w:rPr>
                <w:rFonts w:ascii="Arial" w:eastAsia="Times New Roman" w:hAnsi="Arial" w:cs="Arial"/>
                <w:color w:val="000000"/>
                <w:sz w:val="20"/>
                <w:szCs w:val="20"/>
                <w:lang w:eastAsia="es-UY"/>
              </w:rPr>
              <w:br/>
              <w:t xml:space="preserve">Ejemplo de estas enfermedades vigiladas por puestos centinelas son: </w:t>
            </w:r>
          </w:p>
          <w:p w:rsidR="002C4A1E" w:rsidRPr="002C4A1E" w:rsidRDefault="002C4A1E" w:rsidP="002C4A1E">
            <w:pPr>
              <w:numPr>
                <w:ilvl w:val="0"/>
                <w:numId w:val="6"/>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Influenza (Gripe) </w:t>
            </w:r>
          </w:p>
          <w:p w:rsidR="002C4A1E" w:rsidRPr="002C4A1E" w:rsidRDefault="002C4A1E" w:rsidP="002C4A1E">
            <w:pPr>
              <w:numPr>
                <w:ilvl w:val="0"/>
                <w:numId w:val="6"/>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Diarreas </w:t>
            </w:r>
          </w:p>
          <w:p w:rsidR="002C4A1E" w:rsidRPr="002C4A1E" w:rsidRDefault="002C4A1E" w:rsidP="002C4A1E">
            <w:pPr>
              <w:numPr>
                <w:ilvl w:val="0"/>
                <w:numId w:val="6"/>
              </w:numPr>
              <w:spacing w:before="100" w:beforeAutospacing="1" w:after="100" w:afterAutospacing="1" w:line="240" w:lineRule="auto"/>
              <w:jc w:val="both"/>
              <w:rPr>
                <w:rFonts w:ascii="Arial" w:eastAsia="Times New Roman" w:hAnsi="Arial" w:cs="Arial"/>
                <w:color w:val="000000"/>
                <w:sz w:val="20"/>
                <w:szCs w:val="20"/>
                <w:lang w:eastAsia="es-UY"/>
              </w:rPr>
            </w:pPr>
            <w:r w:rsidRPr="002C4A1E">
              <w:rPr>
                <w:rFonts w:ascii="Arial" w:eastAsia="Times New Roman" w:hAnsi="Arial" w:cs="Arial"/>
                <w:color w:val="000000"/>
                <w:sz w:val="20"/>
                <w:szCs w:val="20"/>
                <w:lang w:eastAsia="es-UY"/>
              </w:rPr>
              <w:t xml:space="preserve">ETS no SIDA </w:t>
            </w:r>
          </w:p>
          <w:p w:rsidR="002C4A1E" w:rsidRPr="002C4A1E" w:rsidRDefault="002C4A1E" w:rsidP="002C4A1E">
            <w:pPr>
              <w:spacing w:after="0" w:line="240" w:lineRule="auto"/>
              <w:jc w:val="both"/>
              <w:rPr>
                <w:rFonts w:ascii="Times New Roman" w:eastAsia="Times New Roman" w:hAnsi="Times New Roman" w:cs="Times New Roman"/>
                <w:sz w:val="24"/>
                <w:szCs w:val="24"/>
                <w:lang w:eastAsia="es-UY"/>
              </w:rPr>
            </w:pPr>
          </w:p>
        </w:tc>
      </w:tr>
    </w:tbl>
    <w:p w:rsidR="006643B0" w:rsidRDefault="008B57E9"/>
    <w:sectPr w:rsidR="006643B0" w:rsidSect="002C7F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FBE"/>
    <w:multiLevelType w:val="multilevel"/>
    <w:tmpl w:val="FC3E8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3F0B6C"/>
    <w:multiLevelType w:val="multilevel"/>
    <w:tmpl w:val="CAE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83B0B"/>
    <w:multiLevelType w:val="multilevel"/>
    <w:tmpl w:val="A03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B6889"/>
    <w:multiLevelType w:val="multilevel"/>
    <w:tmpl w:val="4C7E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36588"/>
    <w:multiLevelType w:val="multilevel"/>
    <w:tmpl w:val="E1786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B1F61"/>
    <w:multiLevelType w:val="multilevel"/>
    <w:tmpl w:val="E20C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compat/>
  <w:rsids>
    <w:rsidRoot w:val="002C4A1E"/>
    <w:rsid w:val="00124642"/>
    <w:rsid w:val="002C4A1E"/>
    <w:rsid w:val="002C7F5E"/>
    <w:rsid w:val="008B57E9"/>
    <w:rsid w:val="00932683"/>
    <w:rsid w:val="009442E9"/>
    <w:rsid w:val="009D71B7"/>
    <w:rsid w:val="009F0213"/>
    <w:rsid w:val="00B50625"/>
    <w:rsid w:val="00C1154D"/>
    <w:rsid w:val="00CD3B93"/>
    <w:rsid w:val="00D62FB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5E"/>
  </w:style>
  <w:style w:type="paragraph" w:styleId="Ttulo5">
    <w:name w:val="heading 5"/>
    <w:basedOn w:val="Normal"/>
    <w:link w:val="Ttulo5Car"/>
    <w:uiPriority w:val="9"/>
    <w:qFormat/>
    <w:rsid w:val="002C4A1E"/>
    <w:pPr>
      <w:spacing w:before="100" w:beforeAutospacing="1" w:after="100" w:afterAutospacing="1" w:line="240" w:lineRule="auto"/>
      <w:outlineLvl w:val="4"/>
    </w:pPr>
    <w:rPr>
      <w:rFonts w:ascii="Times New Roman" w:eastAsia="Times New Roman" w:hAnsi="Times New Roman" w:cs="Times New Roman"/>
      <w:b/>
      <w:bCs/>
      <w:sz w:val="20"/>
      <w:szCs w:val="20"/>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C4A1E"/>
    <w:rPr>
      <w:rFonts w:ascii="Times New Roman" w:eastAsia="Times New Roman" w:hAnsi="Times New Roman" w:cs="Times New Roman"/>
      <w:b/>
      <w:bCs/>
      <w:sz w:val="20"/>
      <w:szCs w:val="20"/>
      <w:lang w:eastAsia="es-UY"/>
    </w:rPr>
  </w:style>
  <w:style w:type="paragraph" w:styleId="NormalWeb">
    <w:name w:val="Normal (Web)"/>
    <w:basedOn w:val="Normal"/>
    <w:uiPriority w:val="99"/>
    <w:semiHidden/>
    <w:unhideWhenUsed/>
    <w:rsid w:val="002C4A1E"/>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6645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13532</Words>
  <Characters>74426</Characters>
  <Application>Microsoft Office Word</Application>
  <DocSecurity>0</DocSecurity>
  <Lines>620</Lines>
  <Paragraphs>175</Paragraphs>
  <ScaleCrop>false</ScaleCrop>
  <Company>EL CHUCKY</Company>
  <LinksUpToDate>false</LinksUpToDate>
  <CharactersWithSpaces>87783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COPPOLIN</dc:creator>
  <cp:keywords/>
  <dc:description/>
  <cp:lastModifiedBy>Wolf</cp:lastModifiedBy>
  <cp:revision>2</cp:revision>
  <dcterms:created xsi:type="dcterms:W3CDTF">2013-01-28T13:39:00Z</dcterms:created>
  <dcterms:modified xsi:type="dcterms:W3CDTF">2013-11-18T17:12:00Z</dcterms:modified>
</cp:coreProperties>
</file>